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right"/>
        <w:rPr>
          <w:rFonts w:hint="eastAsia" w:ascii="宋体" w:hAnsi="宋体"/>
          <w:b/>
          <w:sz w:val="24"/>
          <w:szCs w:val="24"/>
        </w:rPr>
      </w:pPr>
    </w:p>
    <w:p>
      <w:pPr>
        <w:jc w:val="left"/>
        <w:rPr>
          <w:rFonts w:ascii="黑体" w:hAnsi="黑体" w:eastAsia="黑体"/>
          <w:b/>
          <w:sz w:val="24"/>
          <w:szCs w:val="24"/>
        </w:rPr>
      </w:pPr>
    </w:p>
    <w:p>
      <w:pPr>
        <w:rPr>
          <w:rFonts w:ascii="黑体" w:hAnsi="黑体" w:eastAsia="黑体"/>
          <w:b/>
          <w:sz w:val="52"/>
          <w:szCs w:val="52"/>
        </w:rPr>
      </w:pPr>
    </w:p>
    <w:p>
      <w:pPr>
        <w:rPr>
          <w:rFonts w:ascii="黑体" w:hAnsi="黑体" w:eastAsia="黑体"/>
          <w:b/>
          <w:sz w:val="52"/>
          <w:szCs w:val="52"/>
        </w:rPr>
      </w:pPr>
    </w:p>
    <w:p>
      <w:pPr>
        <w:jc w:val="center"/>
        <w:rPr>
          <w:rFonts w:ascii="宋体" w:hAnsi="宋体"/>
          <w:b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检  测  报  告</w:t>
      </w:r>
    </w:p>
    <w:p>
      <w:pPr>
        <w:jc w:val="center"/>
        <w:rPr>
          <w:rFonts w:ascii="Times New Roman" w:hAnsi="Times New Roman"/>
          <w:sz w:val="30"/>
          <w:szCs w:val="30"/>
        </w:rPr>
      </w:pPr>
    </w:p>
    <w:p>
      <w:pPr>
        <w:tabs>
          <w:tab w:val="left" w:pos="9795"/>
        </w:tabs>
        <w:jc w:val="center"/>
        <w:rPr>
          <w:rFonts w:ascii="Times New Roman" w:hAnsi="Times New Roman"/>
          <w:color w:val="FF0000"/>
          <w:sz w:val="24"/>
          <w:szCs w:val="24"/>
          <w:highlight w:val="none"/>
          <w:u w:val="none"/>
        </w:rPr>
      </w:pPr>
      <w:r>
        <w:rPr>
          <w:rFonts w:hint="eastAsia" w:ascii="Times New Roman" w:hAnsi="Times New Roman"/>
          <w:sz w:val="24"/>
          <w:szCs w:val="24"/>
        </w:rPr>
        <w:t>报告编号：</w:t>
      </w:r>
      <w:r>
        <w:rPr>
          <w:rFonts w:hint="eastAsia" w:ascii="Times New Roman"/>
          <w:sz w:val="24"/>
          <w:szCs w:val="24"/>
          <w:highlight w:val="none"/>
          <w:u w:val="none"/>
          <w:lang w:val="en-US" w:eastAsia="zh-CN"/>
        </w:rPr>
        <w:t>HYHJ1803369</w:t>
      </w:r>
    </w:p>
    <w:p>
      <w:pPr>
        <w:jc w:val="center"/>
        <w:rPr>
          <w:rFonts w:hint="eastAsia" w:ascii="Times New Roman" w:hAnsi="Times New Roman"/>
          <w:sz w:val="28"/>
          <w:szCs w:val="28"/>
        </w:rPr>
      </w:pPr>
    </w:p>
    <w:p>
      <w:pPr>
        <w:jc w:val="center"/>
        <w:rPr>
          <w:rFonts w:ascii="Times New Roman" w:hAnsi="Times New Roman"/>
          <w:sz w:val="32"/>
          <w:szCs w:val="32"/>
        </w:rPr>
      </w:pPr>
    </w:p>
    <w:p>
      <w:pPr>
        <w:jc w:val="center"/>
        <w:rPr>
          <w:rFonts w:ascii="Times New Roman" w:hAnsi="Times New Roman"/>
          <w:sz w:val="32"/>
          <w:szCs w:val="32"/>
        </w:rPr>
      </w:pPr>
    </w:p>
    <w:p>
      <w:pPr>
        <w:jc w:val="center"/>
        <w:rPr>
          <w:rFonts w:hint="eastAsia" w:ascii="Times New Roman" w:hAnsi="Times New Roman"/>
          <w:sz w:val="32"/>
          <w:szCs w:val="32"/>
        </w:rPr>
      </w:pPr>
    </w:p>
    <w:p>
      <w:pPr>
        <w:jc w:val="center"/>
        <w:rPr>
          <w:rFonts w:ascii="Times New Roman" w:hAnsi="Times New Roman"/>
          <w:sz w:val="32"/>
          <w:szCs w:val="32"/>
        </w:rPr>
      </w:pPr>
    </w:p>
    <w:tbl>
      <w:tblPr>
        <w:tblStyle w:val="9"/>
        <w:tblW w:w="80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9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40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宋体"/>
                <w:sz w:val="28"/>
                <w:szCs w:val="28"/>
              </w:rPr>
              <w:t>项目名称：</w:t>
            </w:r>
          </w:p>
        </w:tc>
        <w:tc>
          <w:tcPr>
            <w:tcW w:w="6397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spacing w:line="400" w:lineRule="exact"/>
              <w:jc w:val="center"/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  <w:lang w:val="en-US" w:eastAsia="zh-CN"/>
              </w:rPr>
              <w:t>诸城龙苑尚城建设项目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40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宋体"/>
                <w:sz w:val="28"/>
                <w:szCs w:val="28"/>
              </w:rPr>
              <w:t>受检</w:t>
            </w:r>
            <w:r>
              <w:rPr>
                <w:rFonts w:ascii="Times New Roman" w:hAnsi="宋体"/>
                <w:sz w:val="28"/>
                <w:szCs w:val="28"/>
              </w:rPr>
              <w:t>单位：</w:t>
            </w:r>
          </w:p>
        </w:tc>
        <w:tc>
          <w:tcPr>
            <w:tcW w:w="6397" w:type="dxa"/>
            <w:tcBorders>
              <w:left w:val="nil"/>
              <w:right w:val="nil"/>
            </w:tcBorders>
            <w:vAlign w:val="bottom"/>
          </w:tcPr>
          <w:p>
            <w:pPr>
              <w:spacing w:line="400" w:lineRule="exact"/>
              <w:jc w:val="center"/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  <w:lang w:val="en-US" w:eastAsia="zh-CN"/>
              </w:rPr>
              <w:t>山东裕华发展有限公司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40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宋体"/>
                <w:sz w:val="28"/>
                <w:szCs w:val="28"/>
              </w:rPr>
              <w:t>检测类别：</w:t>
            </w:r>
          </w:p>
        </w:tc>
        <w:tc>
          <w:tcPr>
            <w:tcW w:w="6397" w:type="dxa"/>
            <w:tcBorders>
              <w:left w:val="nil"/>
              <w:right w:val="nil"/>
            </w:tcBorders>
            <w:vAlign w:val="bottom"/>
          </w:tcPr>
          <w:p>
            <w:pPr>
              <w:spacing w:line="400" w:lineRule="exact"/>
              <w:jc w:val="center"/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</w:rPr>
              <w:t>无组织废气</w:t>
            </w: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  <w:lang w:eastAsia="zh-CN"/>
              </w:rPr>
              <w:t>、废水、</w:t>
            </w: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</w:rPr>
              <w:t>工业企业厂界环境噪声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40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宋体"/>
                <w:sz w:val="28"/>
                <w:szCs w:val="28"/>
              </w:rPr>
              <w:t>报告日期：</w:t>
            </w:r>
          </w:p>
        </w:tc>
        <w:tc>
          <w:tcPr>
            <w:tcW w:w="6397" w:type="dxa"/>
            <w:tcBorders>
              <w:left w:val="nil"/>
              <w:right w:val="nil"/>
            </w:tcBorders>
            <w:vAlign w:val="bottom"/>
          </w:tcPr>
          <w:p>
            <w:pPr>
              <w:spacing w:line="400" w:lineRule="exact"/>
              <w:jc w:val="center"/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</w:rPr>
              <w:t>201</w:t>
            </w: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  <w:lang w:val="en-US" w:eastAsia="zh-CN"/>
              </w:rPr>
              <w:t>8</w:t>
            </w: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</w:rPr>
              <w:t>年</w:t>
            </w: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  <w:lang w:val="en-US" w:eastAsia="zh-CN"/>
              </w:rPr>
              <w:t>0</w:t>
            </w:r>
            <w:r>
              <w:rPr>
                <w:rFonts w:hint="eastAsia" w:ascii="Times New Roman"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</w:rPr>
              <w:t>月</w:t>
            </w: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/>
                <w:color w:val="auto"/>
                <w:sz w:val="28"/>
                <w:szCs w:val="28"/>
                <w:highlight w:val="none"/>
                <w:lang w:val="en-US" w:eastAsia="zh-CN"/>
              </w:rPr>
              <w:t>0</w:t>
            </w:r>
            <w:r>
              <w:rPr>
                <w:rFonts w:hint="eastAsia" w:ascii="Times New Roman" w:hAnsi="Times New Roman"/>
                <w:color w:val="auto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jc w:val="left"/>
        <w:rPr>
          <w:rFonts w:ascii="Times New Roman" w:hAnsi="Times New Roman"/>
          <w:sz w:val="32"/>
          <w:szCs w:val="32"/>
          <w:u w:val="single"/>
        </w:rPr>
      </w:pPr>
    </w:p>
    <w:p>
      <w:pPr>
        <w:jc w:val="left"/>
        <w:rPr>
          <w:rFonts w:ascii="Times New Roman" w:hAnsi="Times New Roman"/>
          <w:sz w:val="32"/>
          <w:szCs w:val="32"/>
          <w:u w:val="single"/>
        </w:rPr>
      </w:pPr>
    </w:p>
    <w:p>
      <w:pPr>
        <w:jc w:val="left"/>
        <w:rPr>
          <w:rFonts w:ascii="Times New Roman" w:hAnsi="Times New Roman"/>
          <w:sz w:val="32"/>
          <w:szCs w:val="32"/>
          <w:u w:val="single"/>
        </w:rPr>
      </w:pPr>
    </w:p>
    <w:p>
      <w:pPr>
        <w:jc w:val="center"/>
        <w:rPr>
          <w:rFonts w:ascii="Times New Roman" w:hAnsi="宋体"/>
          <w:b/>
          <w:sz w:val="30"/>
          <w:szCs w:val="30"/>
        </w:rPr>
      </w:pPr>
      <w:r>
        <w:rPr>
          <w:rFonts w:hint="eastAsia" w:ascii="Times New Roman" w:hAnsi="宋体"/>
          <w:b/>
          <w:sz w:val="30"/>
          <w:szCs w:val="30"/>
        </w:rPr>
        <w:t>山东华一检测有限公司</w:t>
      </w:r>
    </w:p>
    <w:p>
      <w:pPr>
        <w:spacing w:line="180" w:lineRule="exact"/>
        <w:jc w:val="center"/>
        <w:rPr>
          <w:rFonts w:ascii="Times New Roman" w:hAnsi="宋体"/>
          <w:b/>
          <w:sz w:val="30"/>
          <w:szCs w:val="30"/>
        </w:rPr>
      </w:pPr>
    </w:p>
    <w:p>
      <w:pPr>
        <w:jc w:val="center"/>
        <w:rPr>
          <w:rFonts w:ascii="Times New Roman" w:hAnsi="宋体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（加盖</w:t>
      </w:r>
      <w:r>
        <w:rPr>
          <w:rFonts w:hint="eastAsia" w:ascii="Times New Roman" w:hAnsi="宋体"/>
          <w:sz w:val="24"/>
          <w:szCs w:val="24"/>
          <w:lang w:eastAsia="zh-CN"/>
        </w:rPr>
        <w:t>检验</w:t>
      </w:r>
      <w:r>
        <w:rPr>
          <w:rFonts w:hint="eastAsia" w:ascii="Times New Roman" w:hAnsi="宋体"/>
          <w:sz w:val="24"/>
          <w:szCs w:val="24"/>
        </w:rPr>
        <w:t>检测专用章）</w:t>
      </w:r>
    </w:p>
    <w:p>
      <w:pPr>
        <w:widowControl/>
        <w:jc w:val="left"/>
        <w:rPr>
          <w:rFonts w:hint="eastAsia" w:ascii="宋体" w:hAnsi="宋体"/>
          <w:b/>
          <w:sz w:val="24"/>
          <w:szCs w:val="24"/>
        </w:rPr>
      </w:pPr>
    </w:p>
    <w:p>
      <w:pPr>
        <w:widowControl/>
        <w:jc w:val="left"/>
        <w:rPr>
          <w:rFonts w:hint="eastAsia" w:ascii="宋体" w:hAnsi="宋体"/>
          <w:b/>
          <w:sz w:val="24"/>
          <w:szCs w:val="24"/>
        </w:rPr>
      </w:pPr>
    </w:p>
    <w:p>
      <w:pPr>
        <w:pStyle w:val="2"/>
        <w:rPr>
          <w:rFonts w:hint="eastAsia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声   明</w:t>
      </w:r>
    </w:p>
    <w:p>
      <w:pPr>
        <w:jc w:val="center"/>
        <w:rPr>
          <w:rFonts w:hint="eastAsia" w:ascii="宋体" w:hAnsi="宋体" w:eastAsia="宋体" w:cs="宋体"/>
          <w:sz w:val="44"/>
          <w:szCs w:val="44"/>
        </w:rPr>
      </w:pPr>
    </w:p>
    <w:p>
      <w:pPr>
        <w:spacing w:line="480" w:lineRule="auto"/>
        <w:ind w:left="360" w:hanging="360" w:hangingChars="15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1、报告无“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82880" cy="125730"/>
            <wp:effectExtent l="0" t="0" r="7620" b="7620"/>
            <wp:docPr id="2" name="图片 2" descr="C:\Documents and Settings\Administrator\桌面\ww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Documents and Settings\Administrator\桌面\www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25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章”、“山东华一检测有限公司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检验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检测专用章”、骑缝章无效。</w:t>
      </w:r>
    </w:p>
    <w:p>
      <w:pPr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2、报告内容涂改无效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>
      <w:pPr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无编制、审核和授权签字人签字无效。</w:t>
      </w:r>
    </w:p>
    <w:p>
      <w:pPr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、复制报告未加盖“山东华一检测有限公司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检验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检测专用章”</w:t>
      </w:r>
      <w:r>
        <w:rPr>
          <w:rFonts w:hint="eastAsia" w:ascii="宋体" w:hAnsi="宋体" w:eastAsia="宋体" w:cs="宋体"/>
          <w:sz w:val="24"/>
          <w:szCs w:val="24"/>
        </w:rPr>
        <w:t>无效。</w:t>
      </w:r>
    </w:p>
    <w:p>
      <w:pPr>
        <w:spacing w:line="480" w:lineRule="auto"/>
        <w:ind w:left="360" w:hanging="360" w:hanging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、检测委托方如对本报告有异议，请于收到报告之日起或在指定领取检测报告终止之日起十五日内，向本公司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提出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过期不予处理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480" w:lineRule="auto"/>
        <w:ind w:left="360" w:hanging="360" w:hanging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、对委托单位送样检测仅对样品负责。</w:t>
      </w:r>
    </w:p>
    <w:p>
      <w:pPr>
        <w:spacing w:line="480" w:lineRule="auto"/>
        <w:ind w:left="360" w:hanging="360" w:hangingChars="15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7、本公司仅对本次所采集样品的检测数据负责。</w:t>
      </w:r>
    </w:p>
    <w:p>
      <w:pPr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、未经本公司书面批准，本报告及数据不得用于商业宣传，违者必究。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9、本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 w:bidi="ar-SA"/>
        </w:rPr>
        <w:t>报告分为正本和副本，正本交与委托单位，副本连同原始记录由本公司存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leftChars="0" w:right="0" w:rightChars="0" w:firstLine="240" w:firstLineChars="1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 w:bidi="ar-SA"/>
        </w:rPr>
        <w:t>档管理。</w:t>
      </w:r>
    </w:p>
    <w:p>
      <w:pPr>
        <w:rPr>
          <w:rFonts w:ascii="黑体" w:hAnsi="黑体" w:eastAsia="黑体"/>
        </w:rPr>
      </w:pPr>
    </w:p>
    <w:p/>
    <w:p>
      <w:pPr>
        <w:spacing w:line="480" w:lineRule="auto"/>
        <w:ind w:firstLine="843" w:firstLineChars="35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本公司通讯资料</w:t>
      </w:r>
    </w:p>
    <w:p>
      <w:pPr>
        <w:spacing w:line="480" w:lineRule="auto"/>
        <w:ind w:firstLine="840" w:firstLineChars="350"/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t>检测业务联系电话及传真：0536-7519186</w:t>
      </w:r>
    </w:p>
    <w:p>
      <w:pPr>
        <w:spacing w:line="480" w:lineRule="auto"/>
        <w:ind w:firstLine="840" w:firstLineChars="350"/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t>质量投诉电话及传真：0536-7519186</w:t>
      </w:r>
    </w:p>
    <w:p>
      <w:pPr>
        <w:spacing w:line="480" w:lineRule="auto"/>
        <w:ind w:firstLine="840" w:firstLineChars="350"/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t>行风监督举报电话及传真：0536-7519186</w:t>
      </w:r>
    </w:p>
    <w:p>
      <w:pPr>
        <w:spacing w:line="480" w:lineRule="auto"/>
        <w:ind w:firstLine="840" w:firstLineChars="350"/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t>邮政编码：261061</w:t>
      </w:r>
    </w:p>
    <w:p>
      <w:pPr>
        <w:spacing w:line="480" w:lineRule="auto"/>
        <w:ind w:left="1440" w:leftChars="300" w:hanging="720" w:hangingChars="300"/>
        <w:rPr>
          <w:rFonts w:hint="eastAsia" w:eastAsia="黑体"/>
          <w:lang w:val="en-US" w:eastAsia="zh-CN"/>
        </w:rPr>
      </w:pPr>
      <w:r>
        <w:rPr>
          <w:rFonts w:hint="eastAsia" w:ascii="黑体" w:eastAsia="黑体"/>
          <w:szCs w:val="21"/>
        </w:rPr>
        <w:t>地址：山东省潍坊高新区健康东街以南高新二路以东（生物医药科技产业园内</w:t>
      </w:r>
      <w:r>
        <w:rPr>
          <w:rFonts w:hint="eastAsia" w:ascii="黑体" w:eastAsia="黑体"/>
          <w:szCs w:val="21"/>
          <w:lang w:val="en-US" w:eastAsia="zh-CN"/>
        </w:rPr>
        <w:t>G</w:t>
      </w:r>
      <w:r>
        <w:rPr>
          <w:rFonts w:hint="eastAsia" w:ascii="黑体" w:eastAsia="黑体"/>
          <w:szCs w:val="21"/>
        </w:rPr>
        <w:t>楼</w:t>
      </w:r>
      <w:r>
        <w:rPr>
          <w:rFonts w:hint="eastAsia" w:ascii="黑体" w:eastAsia="黑体"/>
          <w:szCs w:val="21"/>
          <w:lang w:val="en-US" w:eastAsia="zh-CN"/>
        </w:rPr>
        <w:t>411</w:t>
      </w:r>
      <w:r>
        <w:rPr>
          <w:rFonts w:hint="eastAsia" w:ascii="黑体" w:eastAsia="黑体"/>
          <w:szCs w:val="21"/>
        </w:rPr>
        <w:t>室）</w:t>
      </w:r>
    </w:p>
    <w:p>
      <w:pPr>
        <w:widowControl/>
        <w:jc w:val="right"/>
        <w:rPr>
          <w:rFonts w:hint="eastAsia" w:ascii="宋体" w:hAnsi="宋体"/>
          <w:b/>
          <w:sz w:val="24"/>
          <w:szCs w:val="24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widowControl/>
        <w:jc w:val="right"/>
        <w:rPr>
          <w:rFonts w:hint="eastAsia" w:ascii="宋体" w:hAnsi="宋体"/>
          <w:b/>
          <w:sz w:val="24"/>
          <w:szCs w:val="24"/>
        </w:rPr>
      </w:pP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目  录</w:t>
      </w:r>
    </w:p>
    <w:p>
      <w:pPr>
        <w:jc w:val="center"/>
        <w:rPr>
          <w:rFonts w:hint="eastAsia"/>
          <w:sz w:val="44"/>
          <w:szCs w:val="44"/>
        </w:rPr>
      </w:pPr>
    </w:p>
    <w:p>
      <w:pPr>
        <w:pStyle w:val="7"/>
        <w:tabs>
          <w:tab w:val="right" w:leader="dot" w:pos="8306"/>
        </w:tabs>
        <w:spacing w:line="360" w:lineRule="auto"/>
        <w:rPr>
          <w:rFonts w:hint="eastAsia" w:ascii="Times New Roman" w:hAnsi="宋体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hint="eastAsia" w:ascii="Times New Roman" w:hAnsi="宋体"/>
          <w:sz w:val="24"/>
          <w:szCs w:val="24"/>
        </w:rPr>
        <w:t>空气及废气检测结果报告表（无组织废气）</w:t>
      </w:r>
      <w:r>
        <w:rPr>
          <w:rFonts w:ascii="Times New Roman" w:hAnsi="宋体"/>
          <w:sz w:val="24"/>
          <w:szCs w:val="24"/>
        </w:rPr>
        <w:tab/>
      </w:r>
      <w:r>
        <w:rPr>
          <w:rFonts w:hint="eastAsia" w:ascii="Times New Roman" w:hAnsi="宋体"/>
          <w:sz w:val="24"/>
          <w:szCs w:val="24"/>
        </w:rPr>
        <w:t>1</w:t>
      </w:r>
    </w:p>
    <w:p>
      <w:pPr>
        <w:pStyle w:val="7"/>
        <w:tabs>
          <w:tab w:val="right" w:leader="dot" w:pos="8306"/>
        </w:tabs>
        <w:spacing w:line="360" w:lineRule="auto"/>
        <w:rPr>
          <w:rFonts w:hint="eastAsia" w:ascii="Times New Roman" w:hAnsi="宋体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2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hint="eastAsia" w:ascii="Times New Roman" w:hAnsi="宋体"/>
          <w:sz w:val="24"/>
          <w:szCs w:val="24"/>
          <w:lang w:eastAsia="zh-CN"/>
        </w:rPr>
        <w:t>水及废水</w:t>
      </w:r>
      <w:r>
        <w:rPr>
          <w:rFonts w:hint="eastAsia" w:ascii="Times New Roman" w:hAnsi="宋体"/>
          <w:sz w:val="24"/>
          <w:szCs w:val="24"/>
        </w:rPr>
        <w:t>检测结果报告表（无组织废气）</w:t>
      </w:r>
      <w:r>
        <w:rPr>
          <w:rFonts w:ascii="Times New Roman" w:hAnsi="宋体"/>
          <w:sz w:val="24"/>
          <w:szCs w:val="24"/>
        </w:rPr>
        <w:tab/>
      </w:r>
      <w:r>
        <w:rPr>
          <w:rFonts w:hint="eastAsia" w:ascii="Times New Roman" w:hAnsi="宋体"/>
          <w:sz w:val="24"/>
          <w:szCs w:val="24"/>
          <w:lang w:val="en-US" w:eastAsia="zh-CN"/>
        </w:rPr>
        <w:t>2</w:t>
      </w:r>
    </w:p>
    <w:p>
      <w:pPr>
        <w:pStyle w:val="7"/>
        <w:tabs>
          <w:tab w:val="right" w:leader="dot" w:pos="8306"/>
        </w:tabs>
        <w:spacing w:line="360" w:lineRule="auto"/>
        <w:rPr>
          <w:rFonts w:hint="eastAsia" w:ascii="Times New Roman" w:hAnsi="宋体"/>
          <w:sz w:val="24"/>
          <w:szCs w:val="24"/>
        </w:rPr>
      </w:pPr>
      <w:r>
        <w:rPr>
          <w:rFonts w:hint="eastAsia" w:ascii="Times New Roman" w:hAnsi="宋体"/>
          <w:sz w:val="24"/>
          <w:szCs w:val="24"/>
          <w:lang w:val="en-US" w:eastAsia="zh-CN"/>
        </w:rPr>
        <w:t>3</w:t>
      </w:r>
      <w:r>
        <w:rPr>
          <w:rFonts w:hint="eastAsia" w:ascii="Times New Roman" w:hAnsi="宋体"/>
          <w:sz w:val="24"/>
          <w:szCs w:val="24"/>
        </w:rPr>
        <w:t>.噪声检测结果报告表</w:t>
      </w:r>
      <w:r>
        <w:rPr>
          <w:rFonts w:ascii="Times New Roman" w:hAnsi="宋体"/>
          <w:sz w:val="24"/>
          <w:szCs w:val="24"/>
        </w:rPr>
        <w:tab/>
      </w:r>
      <w:r>
        <w:rPr>
          <w:rFonts w:hint="eastAsia" w:ascii="Times New Roman" w:hAnsi="宋体"/>
          <w:sz w:val="24"/>
          <w:szCs w:val="24"/>
          <w:lang w:val="en-US" w:eastAsia="zh-CN"/>
        </w:rPr>
        <w:t>4</w:t>
      </w:r>
    </w:p>
    <w:p>
      <w:pPr>
        <w:pStyle w:val="7"/>
        <w:tabs>
          <w:tab w:val="right" w:leader="dot" w:pos="8306"/>
        </w:tabs>
        <w:spacing w:line="360" w:lineRule="auto"/>
        <w:rPr>
          <w:rFonts w:hint="eastAsia" w:ascii="Times New Roman" w:hAnsi="宋体"/>
          <w:sz w:val="24"/>
          <w:szCs w:val="24"/>
        </w:rPr>
      </w:pPr>
      <w:r>
        <w:rPr>
          <w:rFonts w:hint="eastAsia" w:ascii="Times New Roman" w:hAnsi="宋体"/>
          <w:sz w:val="24"/>
          <w:szCs w:val="24"/>
          <w:lang w:val="en-US" w:eastAsia="zh-CN"/>
        </w:rPr>
        <w:t>4</w:t>
      </w:r>
      <w:r>
        <w:rPr>
          <w:rFonts w:hint="eastAsia" w:ascii="Times New Roman" w:hAnsi="宋体"/>
          <w:sz w:val="24"/>
          <w:szCs w:val="24"/>
        </w:rPr>
        <w:t>.附表1：检测期间气象参数一览表</w:t>
      </w:r>
    </w:p>
    <w:p>
      <w:pPr>
        <w:pStyle w:val="7"/>
        <w:tabs>
          <w:tab w:val="right" w:leader="dot" w:pos="8306"/>
        </w:tabs>
        <w:spacing w:line="360" w:lineRule="auto"/>
        <w:rPr>
          <w:rFonts w:hint="eastAsia" w:ascii="Times New Roman" w:hAnsi="宋体"/>
          <w:sz w:val="24"/>
          <w:szCs w:val="24"/>
        </w:rPr>
      </w:pPr>
      <w:r>
        <w:rPr>
          <w:rFonts w:hint="eastAsia" w:ascii="Times New Roman" w:hAnsi="宋体"/>
          <w:sz w:val="24"/>
          <w:szCs w:val="24"/>
          <w:lang w:val="en-US" w:eastAsia="zh-CN"/>
        </w:rPr>
        <w:t>5</w:t>
      </w:r>
      <w:r>
        <w:rPr>
          <w:rFonts w:hint="eastAsia" w:ascii="Times New Roman" w:hAnsi="宋体"/>
          <w:sz w:val="24"/>
          <w:szCs w:val="24"/>
        </w:rPr>
        <w:t>.附表2：检测依据一览表</w:t>
      </w:r>
    </w:p>
    <w:p>
      <w:pPr>
        <w:pStyle w:val="7"/>
        <w:tabs>
          <w:tab w:val="right" w:leader="dot" w:pos="8306"/>
        </w:tabs>
        <w:spacing w:line="360" w:lineRule="auto"/>
        <w:rPr>
          <w:rFonts w:hint="eastAsia" w:ascii="Times New Roman" w:hAnsi="宋体"/>
          <w:sz w:val="24"/>
          <w:szCs w:val="24"/>
        </w:rPr>
      </w:pPr>
      <w:r>
        <w:rPr>
          <w:rFonts w:hint="eastAsia" w:ascii="Times New Roman" w:hAnsi="宋体"/>
          <w:sz w:val="24"/>
          <w:szCs w:val="24"/>
          <w:lang w:val="en-US" w:eastAsia="zh-CN"/>
        </w:rPr>
        <w:t>6</w:t>
      </w:r>
      <w:r>
        <w:rPr>
          <w:rFonts w:hint="eastAsia" w:ascii="Times New Roman" w:hAnsi="宋体"/>
          <w:sz w:val="24"/>
          <w:szCs w:val="24"/>
        </w:rPr>
        <w:t>.附图：检测点位示意图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widowControl/>
        <w:jc w:val="left"/>
        <w:rPr>
          <w:rFonts w:hint="eastAsia" w:ascii="宋体" w:hAnsi="宋体"/>
          <w:b/>
          <w:sz w:val="24"/>
          <w:szCs w:val="24"/>
        </w:rPr>
      </w:pPr>
    </w:p>
    <w:p>
      <w:pPr>
        <w:widowControl/>
        <w:jc w:val="left"/>
        <w:rPr>
          <w:rFonts w:hint="eastAsia" w:ascii="宋体" w:hAnsi="宋体"/>
          <w:b/>
          <w:sz w:val="24"/>
          <w:szCs w:val="24"/>
        </w:rPr>
      </w:pPr>
    </w:p>
    <w:p>
      <w:pPr>
        <w:widowControl/>
        <w:jc w:val="left"/>
        <w:rPr>
          <w:rFonts w:hint="eastAsia" w:ascii="宋体" w:hAnsi="宋体"/>
          <w:b/>
          <w:sz w:val="24"/>
          <w:szCs w:val="24"/>
        </w:rPr>
      </w:pPr>
    </w:p>
    <w:p>
      <w:pPr>
        <w:widowControl/>
        <w:jc w:val="left"/>
        <w:rPr>
          <w:rFonts w:hint="eastAsia" w:ascii="宋体" w:hAnsi="宋体"/>
          <w:b/>
          <w:sz w:val="24"/>
          <w:szCs w:val="24"/>
        </w:rPr>
      </w:pPr>
    </w:p>
    <w:p>
      <w:pPr>
        <w:widowControl/>
        <w:jc w:val="left"/>
        <w:rPr>
          <w:rFonts w:hint="eastAsia" w:ascii="宋体" w:hAnsi="宋体"/>
          <w:b/>
          <w:sz w:val="24"/>
          <w:szCs w:val="24"/>
        </w:rPr>
      </w:pPr>
    </w:p>
    <w:p>
      <w:pPr>
        <w:widowControl/>
        <w:jc w:val="left"/>
        <w:rPr>
          <w:rFonts w:hint="eastAsia" w:ascii="宋体" w:hAnsi="宋体"/>
          <w:b/>
          <w:sz w:val="24"/>
          <w:szCs w:val="24"/>
        </w:rPr>
      </w:pPr>
    </w:p>
    <w:p>
      <w:pPr>
        <w:widowControl/>
        <w:jc w:val="left"/>
        <w:rPr>
          <w:rFonts w:hint="eastAsia" w:ascii="宋体" w:hAnsi="宋体"/>
          <w:b/>
          <w:sz w:val="24"/>
          <w:szCs w:val="24"/>
        </w:rPr>
      </w:pPr>
    </w:p>
    <w:p>
      <w:pPr>
        <w:widowControl/>
        <w:jc w:val="left"/>
        <w:rPr>
          <w:rFonts w:hint="eastAsia" w:ascii="宋体" w:hAnsi="宋体"/>
          <w:b/>
          <w:sz w:val="24"/>
          <w:szCs w:val="24"/>
        </w:rPr>
      </w:pPr>
    </w:p>
    <w:p>
      <w:pPr>
        <w:widowControl/>
        <w:jc w:val="left"/>
        <w:rPr>
          <w:rFonts w:hint="eastAsia" w:ascii="宋体" w:hAnsi="宋体"/>
          <w:b/>
          <w:sz w:val="24"/>
          <w:szCs w:val="24"/>
        </w:rPr>
      </w:pPr>
    </w:p>
    <w:p>
      <w:pPr>
        <w:widowControl/>
        <w:jc w:val="left"/>
        <w:rPr>
          <w:rFonts w:hint="eastAsia" w:ascii="宋体" w:hAnsi="宋体"/>
          <w:b/>
          <w:sz w:val="24"/>
          <w:szCs w:val="24"/>
        </w:rPr>
      </w:pPr>
    </w:p>
    <w:p>
      <w:pPr>
        <w:widowControl/>
        <w:jc w:val="left"/>
        <w:rPr>
          <w:rFonts w:hint="eastAsia" w:ascii="宋体" w:hAnsi="宋体"/>
          <w:b/>
          <w:sz w:val="24"/>
          <w:szCs w:val="24"/>
        </w:rPr>
      </w:pPr>
    </w:p>
    <w:p>
      <w:pPr>
        <w:widowControl/>
        <w:jc w:val="left"/>
        <w:rPr>
          <w:rFonts w:hint="eastAsia" w:ascii="宋体" w:hAnsi="宋体"/>
          <w:b/>
          <w:sz w:val="24"/>
          <w:szCs w:val="24"/>
        </w:rPr>
      </w:pPr>
    </w:p>
    <w:p>
      <w:pPr>
        <w:widowControl/>
        <w:jc w:val="left"/>
        <w:rPr>
          <w:rFonts w:hint="eastAsia" w:ascii="宋体" w:hAnsi="宋体"/>
          <w:b/>
          <w:sz w:val="24"/>
          <w:szCs w:val="24"/>
        </w:rPr>
      </w:pPr>
    </w:p>
    <w:p>
      <w:pPr>
        <w:spacing w:line="5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编  制：                审  核：                授权签字人：</w:t>
      </w:r>
    </w:p>
    <w:p>
      <w:pPr>
        <w:spacing w:line="5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  期：                日  期：                日      期：</w:t>
      </w:r>
    </w:p>
    <w:p>
      <w:pPr>
        <w:widowControl/>
        <w:jc w:val="left"/>
        <w:rPr>
          <w:rFonts w:hint="eastAsia" w:ascii="宋体" w:hAnsi="宋体"/>
          <w:b/>
          <w:sz w:val="24"/>
          <w:szCs w:val="24"/>
        </w:rPr>
      </w:pPr>
    </w:p>
    <w:p>
      <w:pPr>
        <w:rPr>
          <w:rFonts w:hint="eastAsia"/>
        </w:rPr>
      </w:pPr>
    </w:p>
    <w:p>
      <w:pPr>
        <w:jc w:val="left"/>
        <w:rPr>
          <w:rFonts w:hint="eastAsia" w:eastAsia="宋体"/>
          <w:lang w:eastAsia="zh-CN"/>
        </w:rPr>
      </w:pPr>
    </w:p>
    <w:p>
      <w:pPr>
        <w:tabs>
          <w:tab w:val="left" w:pos="9795"/>
        </w:tabs>
        <w:jc w:val="center"/>
        <w:rPr>
          <w:rFonts w:ascii="Times New Roman"/>
          <w:szCs w:val="24"/>
        </w:rPr>
        <w:sectPr>
          <w:pgSz w:w="11906" w:h="16838"/>
          <w:pgMar w:top="1134" w:right="1134" w:bottom="1134" w:left="1134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ascii="Times New Roman"/>
          <w:b/>
          <w:sz w:val="36"/>
          <w:szCs w:val="36"/>
        </w:rPr>
      </w:pPr>
      <w:r>
        <w:rPr>
          <w:rFonts w:hint="eastAsia" w:ascii="Times New Roman"/>
          <w:b/>
          <w:sz w:val="36"/>
          <w:szCs w:val="36"/>
          <w:lang w:eastAsia="zh-CN"/>
        </w:rPr>
        <w:t>空气及废气</w:t>
      </w:r>
      <w:r>
        <w:rPr>
          <w:rFonts w:ascii="Times New Roman"/>
          <w:b/>
          <w:sz w:val="36"/>
          <w:szCs w:val="36"/>
        </w:rPr>
        <w:t>检测结果报告表</w:t>
      </w:r>
    </w:p>
    <w:p>
      <w:pPr>
        <w:tabs>
          <w:tab w:val="left" w:pos="9795"/>
        </w:tabs>
        <w:jc w:val="center"/>
        <w:rPr>
          <w:rFonts w:ascii="Times New Roman"/>
          <w:szCs w:val="24"/>
          <w:highlight w:val="none"/>
        </w:rPr>
      </w:pPr>
      <w:r>
        <w:rPr>
          <w:rFonts w:ascii="Times New Roman"/>
          <w:szCs w:val="24"/>
          <w:highlight w:val="none"/>
        </w:rPr>
        <w:t>报告编号</w:t>
      </w:r>
      <w:r>
        <w:rPr>
          <w:rFonts w:hint="eastAsia" w:ascii="Times New Roman"/>
          <w:szCs w:val="24"/>
          <w:highlight w:val="none"/>
          <w:lang w:eastAsia="zh-CN"/>
        </w:rPr>
        <w:t>：</w:t>
      </w:r>
      <w:r>
        <w:rPr>
          <w:rFonts w:hint="eastAsia" w:ascii="Times New Roman"/>
          <w:szCs w:val="24"/>
          <w:highlight w:val="none"/>
          <w:lang w:val="en-US" w:eastAsia="zh-CN"/>
        </w:rPr>
        <w:t>HYHJ1803369</w:t>
      </w:r>
    </w:p>
    <w:tbl>
      <w:tblPr>
        <w:tblStyle w:val="9"/>
        <w:tblW w:w="10416" w:type="dxa"/>
        <w:jc w:val="center"/>
        <w:tblInd w:w="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199"/>
        <w:gridCol w:w="386"/>
        <w:gridCol w:w="1813"/>
        <w:gridCol w:w="1214"/>
        <w:gridCol w:w="985"/>
        <w:gridCol w:w="21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检测类别</w:t>
            </w:r>
          </w:p>
        </w:tc>
        <w:tc>
          <w:tcPr>
            <w:tcW w:w="2585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无组织废气</w:t>
            </w:r>
          </w:p>
        </w:tc>
        <w:tc>
          <w:tcPr>
            <w:tcW w:w="3027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sym w:font="Wingdings" w:char="F0FE"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 xml:space="preserve">采样日期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sym w:font="Wingdings" w:char="F0A8"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送样日期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2018.0</w:t>
            </w:r>
            <w:r>
              <w:rPr>
                <w:rFonts w:hint="eastAsia" w:ascii="Times New Roman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.1</w:t>
            </w:r>
            <w:r>
              <w:rPr>
                <w:rFonts w:hint="eastAsia" w:ascii="Times New Roman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-0</w:t>
            </w:r>
            <w:r>
              <w:rPr>
                <w:rFonts w:hint="eastAsia" w:ascii="Times New Roman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.1</w:t>
            </w:r>
            <w:r>
              <w:rPr>
                <w:rFonts w:hint="eastAsia" w:ascii="Times New Roman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设备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万分之一电子天平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检测项目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颗粒物(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/>
              </w:rPr>
              <w:t>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采样点位</w:t>
            </w:r>
          </w:p>
        </w:tc>
        <w:tc>
          <w:tcPr>
            <w:tcW w:w="2199" w:type="dxa"/>
            <w:vAlign w:val="center"/>
          </w:tcPr>
          <w:p>
            <w:pPr>
              <w:adjustRightIn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上风向1#监测点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下风向2#监测点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下风向3#监测点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下风向4#监测点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采样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adjustRightInd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2018.03.17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G180318A5-01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G180318A5-02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G180318A5-03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G180318A5-04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0.348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0.363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0.384 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0.371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0.355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0.375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0.397 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0.382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0.370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0.400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0.420 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0.406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0.363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0.388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0.409 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0.395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采样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2018.03.18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G180319A5-01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G180319A5-02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G180319A5-03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G180319A5-04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0.357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0.373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0.390 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0.388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0.365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0.386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0.403 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0.400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0.382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0.411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0.430 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0.423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0.372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0.398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0.417 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0.412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</w:tr>
    </w:tbl>
    <w:p>
      <w:pPr>
        <w:tabs>
          <w:tab w:val="left" w:pos="9795"/>
        </w:tabs>
        <w:rPr>
          <w:rFonts w:hint="eastAsia"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pStyle w:val="2"/>
        <w:rPr>
          <w:rFonts w:hint="eastAsia" w:hAnsi="宋体"/>
          <w:szCs w:val="2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水及废水检测结果报告表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  <w:highlight w:val="none"/>
        </w:rPr>
      </w:pPr>
      <w:r>
        <w:rPr>
          <w:rFonts w:hint="eastAsia" w:hAnsi="宋体"/>
          <w:szCs w:val="24"/>
          <w:highlight w:val="none"/>
        </w:rPr>
        <w:t>报告编号：</w:t>
      </w:r>
      <w:r>
        <w:rPr>
          <w:rFonts w:hint="default" w:ascii="Times New Roman" w:hAnsi="Times New Roman" w:cs="Times New Roman"/>
          <w:szCs w:val="24"/>
          <w:highlight w:val="none"/>
          <w:lang w:eastAsia="zh-CN"/>
        </w:rPr>
        <w:t>HYHJ</w:t>
      </w:r>
      <w:r>
        <w:rPr>
          <w:rFonts w:hint="eastAsia" w:ascii="Times New Roman" w:cs="Times New Roman"/>
          <w:szCs w:val="24"/>
          <w:highlight w:val="none"/>
          <w:lang w:eastAsia="zh-CN"/>
        </w:rPr>
        <w:t>1803369</w:t>
      </w:r>
    </w:p>
    <w:tbl>
      <w:tblPr>
        <w:tblStyle w:val="9"/>
        <w:tblW w:w="1042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2955"/>
        <w:gridCol w:w="2955"/>
        <w:gridCol w:w="295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1557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检测类别</w:t>
            </w:r>
          </w:p>
        </w:tc>
        <w:tc>
          <w:tcPr>
            <w:tcW w:w="2955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废水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采样点位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总排口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1557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955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采样日期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2018.0</w:t>
            </w:r>
            <w:r>
              <w:rPr>
                <w:rFonts w:hint="eastAsia" w:ascii="Times New Roman" w:cs="Times New Roman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.1</w:t>
            </w:r>
            <w:r>
              <w:rPr>
                <w:rFonts w:hint="eastAsia" w:ascii="Times New Roman" w:cs="Times New Roman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155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设备</w:t>
            </w:r>
          </w:p>
        </w:tc>
        <w:tc>
          <w:tcPr>
            <w:tcW w:w="8863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pH计、生化培养箱、酸式滴定管、可见分光光度计、万分之一电子天平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检测项目</w:t>
            </w:r>
          </w:p>
        </w:tc>
        <w:tc>
          <w:tcPr>
            <w:tcW w:w="8863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检测结果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第一次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第二次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第三次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样品编号</w:t>
            </w:r>
          </w:p>
        </w:tc>
        <w:tc>
          <w:tcPr>
            <w:tcW w:w="295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W180318A5-01</w:t>
            </w:r>
          </w:p>
        </w:tc>
        <w:tc>
          <w:tcPr>
            <w:tcW w:w="295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W180318A5-02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W180318A5-03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pH值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cs="Times New Roman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.23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cs="Times New Roman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.19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cs="Times New Roman"/>
                <w:sz w:val="24"/>
                <w:szCs w:val="24"/>
                <w:highlight w:val="none"/>
                <w:lang w:val="en-US" w:eastAsia="zh-CN"/>
              </w:rPr>
              <w:t>8.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五日生化需氧量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(mg/L)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5.9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2.1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3.2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化学需氧量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(mg/L)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氨氮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(mg/L)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1.91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1.87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1.90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悬浮物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(mg/L)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  <w:tc>
          <w:tcPr>
            <w:tcW w:w="8863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/</w:t>
            </w:r>
          </w:p>
        </w:tc>
      </w:tr>
    </w:tbl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szCs w:val="24"/>
        </w:rPr>
      </w:pPr>
    </w:p>
    <w:p>
      <w:pPr>
        <w:pStyle w:val="2"/>
        <w:rPr>
          <w:rFonts w:hAnsi="宋体"/>
          <w:b/>
          <w:szCs w:val="24"/>
        </w:rPr>
      </w:pPr>
    </w:p>
    <w:p>
      <w:pPr>
        <w:rPr>
          <w:rFonts w:hAnsi="宋体"/>
          <w:b/>
          <w:szCs w:val="24"/>
        </w:rPr>
      </w:pPr>
    </w:p>
    <w:p>
      <w:pPr>
        <w:pStyle w:val="2"/>
        <w:rPr>
          <w:rFonts w:hAnsi="宋体"/>
          <w:b/>
          <w:szCs w:val="24"/>
        </w:rPr>
      </w:pPr>
    </w:p>
    <w:p>
      <w:pPr>
        <w:rPr>
          <w:rFonts w:hAnsi="宋体"/>
          <w:b/>
          <w:szCs w:val="24"/>
        </w:rPr>
      </w:pPr>
    </w:p>
    <w:p>
      <w:pPr>
        <w:pStyle w:val="2"/>
        <w:rPr>
          <w:rFonts w:hAnsi="宋体"/>
          <w:b/>
          <w:szCs w:val="24"/>
        </w:rPr>
      </w:pPr>
    </w:p>
    <w:p>
      <w:pPr>
        <w:rPr>
          <w:rFonts w:hAnsi="宋体"/>
          <w:b/>
          <w:szCs w:val="24"/>
        </w:rPr>
      </w:pPr>
    </w:p>
    <w:p>
      <w:pPr>
        <w:pStyle w:val="2"/>
        <w:rPr>
          <w:rFonts w:hAnsi="宋体"/>
          <w:b/>
          <w:szCs w:val="24"/>
        </w:rPr>
      </w:pPr>
    </w:p>
    <w:p>
      <w:pPr>
        <w:rPr>
          <w:rFonts w:hAnsi="宋体"/>
          <w:b/>
          <w:szCs w:val="24"/>
        </w:rPr>
      </w:pPr>
    </w:p>
    <w:p>
      <w:pPr>
        <w:pStyle w:val="2"/>
      </w:pPr>
    </w:p>
    <w:p>
      <w:pPr>
        <w:pStyle w:val="2"/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  <w:highlight w:val="none"/>
        </w:rPr>
      </w:pPr>
      <w:r>
        <w:rPr>
          <w:rFonts w:hint="eastAsia" w:hAnsi="宋体"/>
          <w:b/>
          <w:sz w:val="36"/>
          <w:szCs w:val="36"/>
        </w:rPr>
        <w:t>水</w:t>
      </w:r>
      <w:r>
        <w:rPr>
          <w:rFonts w:hint="eastAsia" w:hAnsi="宋体"/>
          <w:b/>
          <w:sz w:val="36"/>
          <w:szCs w:val="36"/>
          <w:highlight w:val="none"/>
        </w:rPr>
        <w:t>及废水检测结果报告表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  <w:highlight w:val="none"/>
        </w:rPr>
      </w:pPr>
      <w:r>
        <w:rPr>
          <w:rFonts w:hint="eastAsia" w:hAnsi="宋体"/>
          <w:szCs w:val="24"/>
          <w:highlight w:val="none"/>
        </w:rPr>
        <w:t>报告编号：</w:t>
      </w:r>
      <w:r>
        <w:rPr>
          <w:rFonts w:hint="default" w:ascii="Times New Roman" w:hAnsi="Times New Roman" w:cs="Times New Roman"/>
          <w:szCs w:val="24"/>
          <w:highlight w:val="none"/>
          <w:lang w:eastAsia="zh-CN"/>
        </w:rPr>
        <w:t>HYHJ</w:t>
      </w:r>
      <w:r>
        <w:rPr>
          <w:rFonts w:hint="eastAsia" w:ascii="Times New Roman" w:cs="Times New Roman"/>
          <w:szCs w:val="24"/>
          <w:highlight w:val="none"/>
          <w:lang w:eastAsia="zh-CN"/>
        </w:rPr>
        <w:t>1803369</w:t>
      </w:r>
    </w:p>
    <w:tbl>
      <w:tblPr>
        <w:tblStyle w:val="9"/>
        <w:tblW w:w="1042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2955"/>
        <w:gridCol w:w="2955"/>
        <w:gridCol w:w="295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1557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检测类别</w:t>
            </w:r>
          </w:p>
        </w:tc>
        <w:tc>
          <w:tcPr>
            <w:tcW w:w="2955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废水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采样点位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总排口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1557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955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采样日期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2018.0</w:t>
            </w:r>
            <w:r>
              <w:rPr>
                <w:rFonts w:hint="eastAsia" w:ascii="Times New Roman" w:cs="Times New Roman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.1</w:t>
            </w:r>
            <w:r>
              <w:rPr>
                <w:rFonts w:hint="eastAsia" w:ascii="Times New Roman" w:cs="Times New Roman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155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设备</w:t>
            </w:r>
          </w:p>
        </w:tc>
        <w:tc>
          <w:tcPr>
            <w:tcW w:w="8863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pH计、生化培养箱、酸式滴定管、可见分光光度计、万分之一电子天平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检测项目</w:t>
            </w:r>
          </w:p>
        </w:tc>
        <w:tc>
          <w:tcPr>
            <w:tcW w:w="8863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检测结果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第一次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第二次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第三次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样品编号</w:t>
            </w:r>
          </w:p>
        </w:tc>
        <w:tc>
          <w:tcPr>
            <w:tcW w:w="295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W180319A5-01</w:t>
            </w:r>
          </w:p>
        </w:tc>
        <w:tc>
          <w:tcPr>
            <w:tcW w:w="295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W180319A5-02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W180319A5-03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pH值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.16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.20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.09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五日生化需氧量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(mg/L)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4.1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5.4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化学需氧量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(mg/L)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氨氮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(mg/L)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1.88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1.93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1.89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悬浮物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(mg/L)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  <w:tc>
          <w:tcPr>
            <w:tcW w:w="8863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/</w:t>
            </w:r>
          </w:p>
        </w:tc>
      </w:tr>
    </w:tbl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pStyle w:val="2"/>
        <w:rPr>
          <w:rFonts w:hint="eastAsia" w:hAnsi="宋体"/>
          <w:szCs w:val="24"/>
        </w:rPr>
      </w:pPr>
    </w:p>
    <w:p>
      <w:pPr>
        <w:rPr>
          <w:rFonts w:hint="eastAsia" w:hAnsi="宋体"/>
          <w:szCs w:val="24"/>
        </w:rPr>
      </w:pPr>
    </w:p>
    <w:p>
      <w:pPr>
        <w:pStyle w:val="2"/>
        <w:rPr>
          <w:rFonts w:hint="eastAsia" w:hAnsi="宋体"/>
          <w:szCs w:val="24"/>
        </w:rPr>
      </w:pPr>
    </w:p>
    <w:p>
      <w:pPr>
        <w:rPr>
          <w:rFonts w:hint="eastAsia" w:hAnsi="宋体"/>
          <w:szCs w:val="24"/>
        </w:rPr>
      </w:pPr>
    </w:p>
    <w:p>
      <w:pPr>
        <w:pStyle w:val="2"/>
        <w:rPr>
          <w:rFonts w:hint="eastAsia" w:hAnsi="宋体"/>
          <w:szCs w:val="24"/>
        </w:rPr>
      </w:pPr>
    </w:p>
    <w:p>
      <w:pPr>
        <w:rPr>
          <w:rFonts w:hint="eastAsia" w:hAnsi="宋体"/>
          <w:szCs w:val="24"/>
        </w:rPr>
      </w:pPr>
    </w:p>
    <w:p>
      <w:pPr>
        <w:pStyle w:val="2"/>
        <w:rPr>
          <w:rFonts w:hint="eastAsia" w:hAnsi="宋体"/>
          <w:szCs w:val="24"/>
        </w:rPr>
      </w:pPr>
    </w:p>
    <w:p>
      <w:pPr>
        <w:rPr>
          <w:rFonts w:hint="eastAsia" w:hAnsi="宋体"/>
          <w:szCs w:val="24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噪声检测结果报告表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default" w:ascii="Times New Roman" w:hAnsi="Times New Roman" w:cs="Times New Roman"/>
          <w:szCs w:val="24"/>
          <w:lang w:eastAsia="zh-CN"/>
        </w:rPr>
        <w:t>HYHJ</w:t>
      </w:r>
      <w:r>
        <w:rPr>
          <w:rFonts w:hint="eastAsia" w:ascii="Times New Roman" w:cs="Times New Roman"/>
          <w:szCs w:val="24"/>
          <w:lang w:eastAsia="zh-CN"/>
        </w:rPr>
        <w:t>1803369</w:t>
      </w:r>
    </w:p>
    <w:tbl>
      <w:tblPr>
        <w:tblStyle w:val="9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1919"/>
        <w:gridCol w:w="640"/>
        <w:gridCol w:w="1282"/>
        <w:gridCol w:w="1280"/>
        <w:gridCol w:w="642"/>
        <w:gridCol w:w="19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检测类别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工业企业厂界环境噪声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检测项目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等效连续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A声级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检测日期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2018.0</w:t>
            </w:r>
            <w:r>
              <w:rPr>
                <w:rFonts w:hint="eastAsia" w:ascii="Times New Roman" w:cs="Times New Roman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.1</w:t>
            </w:r>
            <w:r>
              <w:rPr>
                <w:rFonts w:hint="eastAsia" w:ascii="Times New Roman" w:cs="Times New Roman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气象条件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979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昼：多云，2.8m/s；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夜：多云，2.6m/s。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主要检测设备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多功能声级计、声校准器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校准数据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昼测量前校正值：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94.0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 xml:space="preserve"> dB(A)，测量后校正值：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93.8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 xml:space="preserve"> dB(A)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夜测量前校正值：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94.0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 xml:space="preserve"> dB(A)，测量后校正值：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94.0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 xml:space="preserve"> dB(A)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检测点位置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（见附图）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1#东厂界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2#南厂界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3#西厂界</w:t>
            </w:r>
          </w:p>
        </w:tc>
        <w:tc>
          <w:tcPr>
            <w:tcW w:w="192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4#北厂界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昼间Leq（dB(A)）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55.5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54.6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53.9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55.2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夜间Leq（dB(A)）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46.7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45.3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44.5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46.4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</w:tr>
    </w:tbl>
    <w:p>
      <w:pPr>
        <w:widowControl/>
        <w:jc w:val="center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</w:p>
    <w:tbl>
      <w:tblPr>
        <w:tblStyle w:val="9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1919"/>
        <w:gridCol w:w="640"/>
        <w:gridCol w:w="1282"/>
        <w:gridCol w:w="1280"/>
        <w:gridCol w:w="642"/>
        <w:gridCol w:w="19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检测类别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工业企业厂界环境噪声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检测项目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等效连续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A声级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检测日期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2018.0</w:t>
            </w:r>
            <w:r>
              <w:rPr>
                <w:rFonts w:hint="eastAsia" w:ascii="Times New Roman" w:cs="Times New Roman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.1</w:t>
            </w:r>
            <w:r>
              <w:rPr>
                <w:rFonts w:hint="eastAsia" w:ascii="Times New Roman" w:cs="Times New Roman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气象条件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979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昼：阴，2.9m/s；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夜：阴，2.8m/s。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主要检测设备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多功能声级计、声校准器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校准数据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昼测量前校正值：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94.0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 xml:space="preserve"> dB(A)，测量后校正值：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94.0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 xml:space="preserve"> dB(A)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夜测量前校正值：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93.8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 xml:space="preserve"> dB(A)，测量后校正值：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94.0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 xml:space="preserve"> dB(A)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检测点位置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（见附图）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1#东厂界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2#南厂界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3#西厂界</w:t>
            </w:r>
          </w:p>
        </w:tc>
        <w:tc>
          <w:tcPr>
            <w:tcW w:w="192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4#北厂界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昼间Leq（dB(A)）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55.3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54.2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53.7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55.5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夜间Leq（dB(A)）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46.4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45.5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44.4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46.7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</w:tr>
    </w:tbl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left"/>
        <w:rPr>
          <w:rFonts w:hAnsi="宋体"/>
          <w:b/>
          <w:szCs w:val="24"/>
        </w:rPr>
      </w:pPr>
    </w:p>
    <w:p>
      <w:pPr>
        <w:widowControl/>
        <w:jc w:val="left"/>
        <w:rPr>
          <w:rFonts w:hAnsi="宋体"/>
          <w:b/>
          <w:szCs w:val="24"/>
        </w:rPr>
      </w:pPr>
    </w:p>
    <w:p>
      <w:pPr>
        <w:pStyle w:val="2"/>
      </w:pPr>
    </w:p>
    <w:p>
      <w:pPr>
        <w:adjustRightInd w:val="0"/>
        <w:snapToGrid w:val="0"/>
        <w:spacing w:beforeLines="50" w:afterLines="50"/>
        <w:jc w:val="left"/>
        <w:rPr>
          <w:rFonts w:hint="eastAsia" w:hAnsi="宋体"/>
          <w:b/>
          <w:bCs/>
          <w:szCs w:val="24"/>
        </w:rPr>
        <w:sectPr>
          <w:footerReference r:id="rId3" w:type="default"/>
          <w:pgSz w:w="11906" w:h="16838"/>
          <w:pgMar w:top="1134" w:right="1134" w:bottom="1134" w:left="1134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adjustRightInd w:val="0"/>
        <w:snapToGrid w:val="0"/>
        <w:spacing w:beforeLines="50" w:afterLines="50"/>
        <w:jc w:val="left"/>
        <w:rPr>
          <w:rFonts w:hAnsi="宋体"/>
          <w:b/>
          <w:bCs/>
          <w:szCs w:val="24"/>
        </w:rPr>
      </w:pPr>
      <w:r>
        <w:rPr>
          <w:rFonts w:hint="eastAsia" w:hAnsi="宋体"/>
          <w:b/>
          <w:bCs/>
          <w:szCs w:val="24"/>
        </w:rPr>
        <w:t>附</w:t>
      </w:r>
      <w:r>
        <w:rPr>
          <w:rFonts w:hAnsi="宋体"/>
          <w:b/>
          <w:bCs/>
          <w:szCs w:val="24"/>
        </w:rPr>
        <w:t>表</w:t>
      </w:r>
      <w:r>
        <w:rPr>
          <w:rFonts w:hint="eastAsia" w:hAnsi="宋体"/>
          <w:b/>
          <w:bCs/>
          <w:szCs w:val="24"/>
        </w:rPr>
        <w:t xml:space="preserve">1 </w:t>
      </w:r>
      <w:r>
        <w:rPr>
          <w:rFonts w:hAnsi="宋体"/>
          <w:b/>
          <w:bCs/>
          <w:szCs w:val="24"/>
        </w:rPr>
        <w:t xml:space="preserve"> </w:t>
      </w:r>
      <w:r>
        <w:rPr>
          <w:rFonts w:hint="eastAsia" w:hAnsi="宋体"/>
          <w:b/>
          <w:bCs/>
          <w:szCs w:val="24"/>
        </w:rPr>
        <w:t>检测</w:t>
      </w:r>
      <w:r>
        <w:rPr>
          <w:rFonts w:hAnsi="宋体"/>
          <w:b/>
          <w:bCs/>
          <w:szCs w:val="24"/>
        </w:rPr>
        <w:t>期间气象参数表</w:t>
      </w:r>
    </w:p>
    <w:tbl>
      <w:tblPr>
        <w:tblStyle w:val="9"/>
        <w:tblW w:w="985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437"/>
        <w:gridCol w:w="1236"/>
        <w:gridCol w:w="1303"/>
        <w:gridCol w:w="1186"/>
        <w:gridCol w:w="1127"/>
        <w:gridCol w:w="1127"/>
        <w:gridCol w:w="10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exact"/>
          <w:jc w:val="center"/>
        </w:trPr>
        <w:tc>
          <w:tcPr>
            <w:tcW w:w="280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pict>
                <v:line id="Line 2" o:spid="_x0000_s2051" o:spt="20" style="position:absolute;left:0pt;margin-left:-4.1pt;margin-top:0.7pt;height:49.8pt;width:66.75pt;z-index:25166131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pict>
                <v:line id="Line 3" o:spid="_x0000_s2050" o:spt="20" style="position:absolute;left:0pt;margin-left:-5.3pt;margin-top:-0.1pt;height:50.3pt;width:140.7pt;z-index:25166028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 xml:space="preserve">            气象条件</w:t>
            </w:r>
          </w:p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 xml:space="preserve">日 期   时 间       </w:t>
            </w:r>
          </w:p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 xml:space="preserve">            </w:t>
            </w:r>
          </w:p>
        </w:tc>
        <w:tc>
          <w:tcPr>
            <w:tcW w:w="123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气温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(℃)</w:t>
            </w:r>
          </w:p>
        </w:tc>
        <w:tc>
          <w:tcPr>
            <w:tcW w:w="130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气压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(kPa)</w:t>
            </w:r>
          </w:p>
        </w:tc>
        <w:tc>
          <w:tcPr>
            <w:tcW w:w="118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风速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(m/s)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风向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总云量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低云量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2018.0</w:t>
            </w:r>
            <w:r>
              <w:rPr>
                <w:rFonts w:hint="eastAsia" w:ascii="Times New Roman" w:cs="Times New Roman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.1</w:t>
            </w:r>
            <w:r>
              <w:rPr>
                <w:rFonts w:hint="eastAsia" w:ascii="Times New Roman" w:cs="Times New Roman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4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09:00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101.7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2.5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11:00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101.6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2.6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13:00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101.5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2.6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15:00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101.5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2.8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2018.0</w:t>
            </w:r>
            <w:r>
              <w:rPr>
                <w:rFonts w:hint="eastAsia" w:ascii="Times New Roman" w:cs="Times New Roman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.1</w:t>
            </w:r>
            <w:r>
              <w:rPr>
                <w:rFonts w:hint="eastAsia" w:ascii="Times New Roman" w:cs="Times New Roman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4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09:00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101.8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2.6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11:00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101.6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2.8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13:00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101.5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2.9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15:00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101.5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2.7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</w:tr>
    </w:tbl>
    <w:p>
      <w:pPr>
        <w:tabs>
          <w:tab w:val="left" w:pos="9795"/>
        </w:tabs>
        <w:jc w:val="left"/>
        <w:rPr>
          <w:rFonts w:hAnsi="宋体"/>
          <w:szCs w:val="24"/>
        </w:rPr>
        <w:sectPr>
          <w:footerReference r:id="rId4" w:type="default"/>
          <w:pgSz w:w="11906" w:h="16838"/>
          <w:pgMar w:top="1134" w:right="1134" w:bottom="1134" w:left="1134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hAnsi="宋体"/>
          <w:szCs w:val="24"/>
        </w:rPr>
        <w:t>本页以下空白。</w:t>
      </w:r>
    </w:p>
    <w:p>
      <w:pPr>
        <w:tabs>
          <w:tab w:val="left" w:pos="9795"/>
        </w:tabs>
        <w:ind w:firstLine="482" w:firstLineChars="200"/>
        <w:jc w:val="left"/>
        <w:rPr>
          <w:rFonts w:hAnsi="宋体"/>
          <w:b/>
          <w:szCs w:val="24"/>
        </w:rPr>
      </w:pPr>
      <w:r>
        <w:rPr>
          <w:rFonts w:hint="eastAsia" w:hAnsi="宋体"/>
          <w:b/>
          <w:szCs w:val="24"/>
        </w:rPr>
        <w:t>附表</w:t>
      </w:r>
      <w:r>
        <w:rPr>
          <w:rFonts w:hint="eastAsia" w:hAnsi="宋体"/>
          <w:b/>
          <w:szCs w:val="24"/>
          <w:lang w:val="en-US" w:eastAsia="zh-CN"/>
        </w:rPr>
        <w:t>2</w:t>
      </w:r>
      <w:r>
        <w:rPr>
          <w:rFonts w:hint="eastAsia" w:hAnsi="宋体"/>
          <w:b/>
          <w:szCs w:val="24"/>
        </w:rPr>
        <w:t>：方法依据一览表</w:t>
      </w:r>
    </w:p>
    <w:tbl>
      <w:tblPr>
        <w:tblStyle w:val="9"/>
        <w:tblW w:w="1381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837"/>
        <w:gridCol w:w="2519"/>
        <w:gridCol w:w="3488"/>
        <w:gridCol w:w="2373"/>
        <w:gridCol w:w="189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检测类别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检测项目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检测依据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检测方法</w:t>
            </w:r>
          </w:p>
        </w:tc>
        <w:tc>
          <w:tcPr>
            <w:tcW w:w="237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检出限</w:t>
            </w:r>
          </w:p>
        </w:tc>
        <w:tc>
          <w:tcPr>
            <w:tcW w:w="189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质控依据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无组织废气</w:t>
            </w:r>
          </w:p>
        </w:tc>
        <w:tc>
          <w:tcPr>
            <w:tcW w:w="183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颗粒物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GB/T 15432-1995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重量法</w:t>
            </w:r>
          </w:p>
        </w:tc>
        <w:tc>
          <w:tcPr>
            <w:tcW w:w="237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0.001mg/m</w:t>
            </w:r>
            <w:r>
              <w:rPr>
                <w:rStyle w:val="14"/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9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HJ/T 373-2007</w:t>
            </w:r>
          </w:p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HJ/T 397-2007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废水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pH值</w:t>
            </w:r>
          </w:p>
        </w:tc>
        <w:tc>
          <w:tcPr>
            <w:tcW w:w="25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GB/T 6920-1986</w:t>
            </w:r>
          </w:p>
        </w:tc>
        <w:tc>
          <w:tcPr>
            <w:tcW w:w="34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玻璃电极法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0.01(pH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HJ/T 91-2002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五日生化需氧量</w:t>
            </w:r>
          </w:p>
        </w:tc>
        <w:tc>
          <w:tcPr>
            <w:tcW w:w="25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HJ 505-2009</w:t>
            </w:r>
          </w:p>
        </w:tc>
        <w:tc>
          <w:tcPr>
            <w:tcW w:w="34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稀释与接种法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0.5mg/L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化学需氧量</w:t>
            </w:r>
          </w:p>
        </w:tc>
        <w:tc>
          <w:tcPr>
            <w:tcW w:w="25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HJ/T 828-2017</w:t>
            </w:r>
          </w:p>
        </w:tc>
        <w:tc>
          <w:tcPr>
            <w:tcW w:w="34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重铬酸盐法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4mg/L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氨氮</w:t>
            </w:r>
          </w:p>
        </w:tc>
        <w:tc>
          <w:tcPr>
            <w:tcW w:w="25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HJ 535-2009</w:t>
            </w:r>
          </w:p>
        </w:tc>
        <w:tc>
          <w:tcPr>
            <w:tcW w:w="34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纳氏试剂分光光度法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0.025mg/L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悬浮物</w:t>
            </w:r>
          </w:p>
        </w:tc>
        <w:tc>
          <w:tcPr>
            <w:tcW w:w="25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GB/T 11901-1989</w:t>
            </w:r>
          </w:p>
        </w:tc>
        <w:tc>
          <w:tcPr>
            <w:tcW w:w="34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重量法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4mg/L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工业企业厂界环境噪声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eastAsia="zh-CN"/>
              </w:rPr>
              <w:t>等效连续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A声级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GB 12348-2008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/</w:t>
            </w:r>
          </w:p>
        </w:tc>
        <w:tc>
          <w:tcPr>
            <w:tcW w:w="2373" w:type="dxa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/</w:t>
            </w:r>
          </w:p>
        </w:tc>
        <w:tc>
          <w:tcPr>
            <w:tcW w:w="1897" w:type="dxa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GB 12348-2008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12114" w:type="dxa"/>
            <w:gridSpan w:val="5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</w:tr>
    </w:tbl>
    <w:p>
      <w:pPr>
        <w:widowControl/>
        <w:ind w:firstLine="240" w:firstLineChars="100"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left"/>
        <w:rPr>
          <w:rFonts w:hAnsi="宋体"/>
          <w:szCs w:val="24"/>
        </w:rPr>
        <w:sectPr>
          <w:pgSz w:w="16838" w:h="11906" w:orient="landscape"/>
          <w:pgMar w:top="1418" w:right="1134" w:bottom="1418" w:left="1134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tabs>
          <w:tab w:val="left" w:pos="2175"/>
          <w:tab w:val="left" w:pos="12616"/>
        </w:tabs>
        <w:jc w:val="left"/>
        <w:rPr>
          <w:rFonts w:hAnsi="宋体"/>
          <w:b/>
          <w:szCs w:val="24"/>
        </w:rPr>
      </w:pPr>
      <w:r>
        <w:rPr>
          <w:rFonts w:hint="eastAsia" w:hAnsi="宋体"/>
          <w:b/>
          <w:szCs w:val="24"/>
        </w:rPr>
        <w:t>附</w:t>
      </w:r>
      <w:r>
        <w:rPr>
          <w:rFonts w:hint="eastAsia" w:hAnsi="宋体"/>
          <w:b/>
          <w:szCs w:val="24"/>
          <w:lang w:eastAsia="zh-CN"/>
        </w:rPr>
        <w:t>图</w:t>
      </w:r>
      <w:r>
        <w:rPr>
          <w:rFonts w:hint="eastAsia" w:hAnsi="宋体"/>
          <w:b/>
          <w:szCs w:val="24"/>
        </w:rPr>
        <w:t>：检测点位示意图</w:t>
      </w:r>
    </w:p>
    <w:p>
      <w:pPr>
        <w:widowControl/>
        <w:jc w:val="left"/>
        <w:rPr>
          <w:rFonts w:hint="eastAsia" w:hAnsi="宋体" w:eastAsia="宋体"/>
          <w:b/>
          <w:szCs w:val="24"/>
          <w:lang w:eastAsia="zh-CN"/>
        </w:rPr>
      </w:pPr>
      <w:r>
        <w:rPr>
          <w:sz w:val="24"/>
        </w:rPr>
        <w:pict>
          <v:shape id="_x0000_s2053" o:spid="_x0000_s2053" o:spt="202" type="#_x0000_t202" style="position:absolute;left:0pt;margin-left:433.55pt;margin-top:15.6pt;height:20.65pt;width:180.85pt;z-index:251663360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03.1</w:t>
                  </w: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8</w:t>
                  </w: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无组织废气监测点布局图</w:t>
                  </w:r>
                </w:p>
                <w:p/>
              </w:txbxContent>
            </v:textbox>
          </v:shape>
        </w:pict>
      </w:r>
      <w:r>
        <w:rPr>
          <w:rFonts w:hint="eastAsia" w:hAnsi="宋体" w:eastAsia="宋体"/>
          <w:b/>
          <w:szCs w:val="24"/>
          <w:lang w:eastAsia="zh-CN"/>
        </w:rPr>
        <w:drawing>
          <wp:inline distT="0" distB="0" distL="114300" distR="114300">
            <wp:extent cx="9251315" cy="5203825"/>
            <wp:effectExtent l="0" t="0" r="6985" b="15875"/>
            <wp:docPr id="1" name="图片 1" descr="南风+北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南风+北风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51315" cy="520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pict>
          <v:shape id="_x0000_s2052" o:spid="_x0000_s2052" o:spt="202" type="#_x0000_t202" style="position:absolute;left:0pt;margin-left:251.9pt;margin-top:14.75pt;height:24.1pt;width:156.7pt;z-index:251662336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03.17无组织废气监测点布局图</w:t>
                  </w:r>
                </w:p>
              </w:txbxContent>
            </v:textbox>
          </v:shape>
        </w:pict>
      </w:r>
    </w:p>
    <w:p>
      <w:pPr>
        <w:widowControl/>
        <w:jc w:val="left"/>
        <w:rPr>
          <w:rFonts w:hAnsi="宋体"/>
          <w:b/>
          <w:szCs w:val="24"/>
        </w:rPr>
      </w:pPr>
    </w:p>
    <w:p>
      <w:pPr>
        <w:widowControl/>
        <w:jc w:val="left"/>
        <w:rPr>
          <w:rFonts w:hAnsi="宋体"/>
          <w:szCs w:val="24"/>
        </w:rPr>
        <w:sectPr>
          <w:pgSz w:w="16838" w:h="11906" w:orient="landscape"/>
          <w:pgMar w:top="1134" w:right="1134" w:bottom="1134" w:left="1134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hint="eastAsia" w:hAnsi="宋体"/>
          <w:b/>
          <w:sz w:val="30"/>
          <w:szCs w:val="30"/>
        </w:rPr>
      </w:pPr>
      <w:r>
        <w:rPr>
          <w:rFonts w:hint="eastAsia" w:hAnsi="宋体"/>
          <w:b/>
          <w:sz w:val="30"/>
          <w:szCs w:val="30"/>
          <w:lang w:val="en-US" w:eastAsia="zh-CN"/>
        </w:rPr>
        <w:t>山东裕华发展有限公司</w:t>
      </w:r>
    </w:p>
    <w:p>
      <w:pPr>
        <w:widowControl/>
        <w:jc w:val="center"/>
        <w:rPr>
          <w:rFonts w:hint="eastAsia" w:hAnsi="宋体"/>
          <w:b/>
          <w:sz w:val="30"/>
          <w:szCs w:val="30"/>
        </w:rPr>
      </w:pPr>
      <w:r>
        <w:rPr>
          <w:rFonts w:hint="eastAsia" w:hAnsi="宋体"/>
          <w:b/>
          <w:sz w:val="30"/>
          <w:szCs w:val="30"/>
          <w:lang w:val="en-US" w:eastAsia="zh-CN"/>
        </w:rPr>
        <w:t>诸城龙苑尚城建设项目</w:t>
      </w:r>
    </w:p>
    <w:p>
      <w:pPr>
        <w:widowControl/>
        <w:jc w:val="center"/>
        <w:rPr>
          <w:rFonts w:hAnsi="宋体"/>
          <w:color w:val="auto"/>
          <w:sz w:val="30"/>
          <w:szCs w:val="30"/>
        </w:rPr>
      </w:pPr>
      <w:r>
        <w:rPr>
          <w:rFonts w:hint="eastAsia" w:ascii="Times New Roman"/>
          <w:color w:val="auto"/>
          <w:sz w:val="30"/>
          <w:szCs w:val="30"/>
          <w:lang w:eastAsia="zh-CN"/>
        </w:rPr>
        <w:t>环保验收</w:t>
      </w:r>
      <w:r>
        <w:rPr>
          <w:rFonts w:hint="eastAsia" w:ascii="Times New Roman"/>
          <w:color w:val="auto"/>
          <w:sz w:val="30"/>
          <w:szCs w:val="30"/>
        </w:rPr>
        <w:t>检测</w:t>
      </w:r>
    </w:p>
    <w:p>
      <w:pPr>
        <w:widowControl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检测单位：山东华一检测有限公司</w:t>
      </w:r>
    </w:p>
    <w:p>
      <w:pPr>
        <w:widowControl/>
        <w:rPr>
          <w:rFonts w:hAnsi="宋体"/>
          <w:sz w:val="30"/>
          <w:szCs w:val="30"/>
          <w:u w:val="single"/>
        </w:rPr>
      </w:pPr>
      <w:r>
        <w:rPr>
          <w:rFonts w:hint="eastAsia" w:hAnsi="宋体"/>
          <w:sz w:val="30"/>
          <w:szCs w:val="30"/>
        </w:rPr>
        <w:t>检测负责人：</w:t>
      </w:r>
      <w:r>
        <w:rPr>
          <w:rFonts w:hint="eastAsia" w:hAnsi="宋体"/>
          <w:sz w:val="30"/>
          <w:szCs w:val="30"/>
          <w:u w:val="single"/>
        </w:rPr>
        <w:t xml:space="preserve">         </w:t>
      </w:r>
    </w:p>
    <w:p>
      <w:pPr>
        <w:widowControl/>
        <w:jc w:val="center"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检测人员一览表</w:t>
      </w:r>
    </w:p>
    <w:tbl>
      <w:tblPr>
        <w:tblStyle w:val="10"/>
        <w:tblW w:w="94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984"/>
        <w:gridCol w:w="2464"/>
        <w:gridCol w:w="2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环境要素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姓名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检测项目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污水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  <w:t>陈欢、杨磊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COD</w:t>
            </w:r>
            <w:r>
              <w:rPr>
                <w:rFonts w:hint="default" w:ascii="Times New Roman" w:hAnsi="Times New Roman" w:eastAsia="宋体" w:cs="Times New Roman"/>
                <w:sz w:val="28"/>
                <w:szCs w:val="28"/>
                <w:vertAlign w:val="subscript"/>
                <w:lang w:val="en-US" w:eastAsia="zh-CN"/>
              </w:rPr>
              <w:t>Cr</w:t>
            </w:r>
            <w:r>
              <w:rPr>
                <w:rFonts w:hint="default" w:ascii="Times New Roman" w:hAnsi="Times New Roman" w:eastAsia="宋体" w:cs="Times New Roman"/>
                <w:sz w:val="28"/>
                <w:szCs w:val="28"/>
                <w:lang w:eastAsia="zh-CN"/>
              </w:rPr>
              <w:t>、氨氮、</w:t>
            </w: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SS</w:t>
            </w:r>
            <w:r>
              <w:rPr>
                <w:rFonts w:hint="default" w:ascii="Times New Roman" w:hAnsi="Times New Roman" w:eastAsia="宋体" w:cs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  <w:t>pH值、BOD</w:t>
            </w:r>
            <w:r>
              <w:rPr>
                <w:rFonts w:hint="default" w:ascii="Times New Roman" w:hAnsi="Times New Roman" w:eastAsia="宋体" w:cs="Times New Roman"/>
                <w:sz w:val="28"/>
                <w:szCs w:val="28"/>
                <w:vertAlign w:val="subscript"/>
                <w:lang w:val="en-US" w:eastAsia="zh-CN"/>
              </w:rPr>
              <w:t>5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无组织废气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  <w:lang w:eastAsia="zh-CN"/>
              </w:rPr>
              <w:t>晓娟物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  <w:lang w:eastAsia="zh-CN"/>
              </w:rPr>
              <w:t>颗粒许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工业企业厂界环境噪声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sz w:val="28"/>
                <w:szCs w:val="28"/>
                <w:u w:val="none"/>
              </w:rPr>
              <w:t>赵娟娟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sz w:val="28"/>
                <w:szCs w:val="28"/>
                <w:u w:val="none"/>
                <w:lang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sz w:val="28"/>
                <w:szCs w:val="28"/>
                <w:u w:val="none"/>
              </w:rPr>
              <w:t>袁玉金</w:t>
            </w:r>
          </w:p>
        </w:tc>
        <w:tc>
          <w:tcPr>
            <w:tcW w:w="2464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:lang w:eastAsia="zh-CN"/>
              </w:rPr>
              <w:t>等效连续</w:t>
            </w:r>
          </w:p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:lang w:val="en-US" w:eastAsia="zh-CN"/>
              </w:rPr>
              <w:t>A声级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采样人员</w:t>
            </w:r>
          </w:p>
        </w:tc>
        <w:tc>
          <w:tcPr>
            <w:tcW w:w="6912" w:type="dxa"/>
            <w:gridSpan w:val="3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</w:p>
        </w:tc>
      </w:tr>
    </w:tbl>
    <w:p>
      <w:pPr>
        <w:widowControl/>
        <w:rPr>
          <w:rFonts w:hint="eastAsia" w:hAnsi="宋体"/>
          <w:sz w:val="30"/>
          <w:szCs w:val="30"/>
          <w:u w:val="single"/>
        </w:rPr>
      </w:pPr>
      <w:r>
        <w:rPr>
          <w:rFonts w:hint="eastAsia" w:hAnsi="宋体"/>
          <w:sz w:val="30"/>
          <w:szCs w:val="30"/>
        </w:rPr>
        <w:t>技术审核：</w:t>
      </w:r>
      <w:r>
        <w:rPr>
          <w:rFonts w:hint="eastAsia" w:hAnsi="宋体"/>
          <w:sz w:val="30"/>
          <w:szCs w:val="30"/>
          <w:u w:val="single"/>
        </w:rPr>
        <w:t xml:space="preserve">         </w:t>
      </w:r>
    </w:p>
    <w:p>
      <w:pPr>
        <w:pStyle w:val="2"/>
        <w:ind w:left="0" w:leftChars="0" w:firstLine="0" w:firstLineChars="0"/>
        <w:jc w:val="center"/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1135" cy="7418705"/>
            <wp:effectExtent l="0" t="0" r="5715" b="10795"/>
            <wp:docPr id="3" name="图片 3" descr="2MD`LS3{{@5)PA3X)Z$TQ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MD`LS3{{@5)PA3X)Z$TQEY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18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134" w:right="1134" w:bottom="1134" w:left="1134" w:header="851" w:footer="992" w:gutter="0"/>
      <w:pgNumType w:fmt="decimal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_x0000_s3074" o:spid="_x0000_s3074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5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val="en-US" w:eastAsia="zh-CN"/>
                  </w:rPr>
                  <w:t>4</w:t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96529"/>
    <w:rsid w:val="00061652"/>
    <w:rsid w:val="0007145F"/>
    <w:rsid w:val="000E2382"/>
    <w:rsid w:val="00117336"/>
    <w:rsid w:val="00135001"/>
    <w:rsid w:val="00142DA4"/>
    <w:rsid w:val="00151219"/>
    <w:rsid w:val="001F7026"/>
    <w:rsid w:val="0024675D"/>
    <w:rsid w:val="002A7BF9"/>
    <w:rsid w:val="00312D1B"/>
    <w:rsid w:val="00317E67"/>
    <w:rsid w:val="00324D51"/>
    <w:rsid w:val="00380C4A"/>
    <w:rsid w:val="003C114D"/>
    <w:rsid w:val="00407AE1"/>
    <w:rsid w:val="0042417F"/>
    <w:rsid w:val="004661B5"/>
    <w:rsid w:val="00496529"/>
    <w:rsid w:val="004D1409"/>
    <w:rsid w:val="004D7211"/>
    <w:rsid w:val="004E7FB8"/>
    <w:rsid w:val="005434CC"/>
    <w:rsid w:val="00582FD7"/>
    <w:rsid w:val="00587A92"/>
    <w:rsid w:val="006214A5"/>
    <w:rsid w:val="006A25C6"/>
    <w:rsid w:val="007531B6"/>
    <w:rsid w:val="00771D75"/>
    <w:rsid w:val="007F513B"/>
    <w:rsid w:val="00850DCA"/>
    <w:rsid w:val="00934F3F"/>
    <w:rsid w:val="00990F86"/>
    <w:rsid w:val="009C7037"/>
    <w:rsid w:val="00A5633F"/>
    <w:rsid w:val="00AF18DB"/>
    <w:rsid w:val="00C958F4"/>
    <w:rsid w:val="00CC3263"/>
    <w:rsid w:val="00D14F43"/>
    <w:rsid w:val="00DB58C8"/>
    <w:rsid w:val="00DE2504"/>
    <w:rsid w:val="00DF7601"/>
    <w:rsid w:val="00E233D0"/>
    <w:rsid w:val="00E847C8"/>
    <w:rsid w:val="00EC0D13"/>
    <w:rsid w:val="00F37985"/>
    <w:rsid w:val="00FC45EB"/>
    <w:rsid w:val="00FE7063"/>
    <w:rsid w:val="01841F40"/>
    <w:rsid w:val="03A52114"/>
    <w:rsid w:val="06AB75B3"/>
    <w:rsid w:val="07BE4E2E"/>
    <w:rsid w:val="08940BFE"/>
    <w:rsid w:val="0B3A04C1"/>
    <w:rsid w:val="0B6533F7"/>
    <w:rsid w:val="0B854848"/>
    <w:rsid w:val="0C1669A3"/>
    <w:rsid w:val="0E63244F"/>
    <w:rsid w:val="10E92AE6"/>
    <w:rsid w:val="11C40588"/>
    <w:rsid w:val="123849E2"/>
    <w:rsid w:val="136029C7"/>
    <w:rsid w:val="1449370B"/>
    <w:rsid w:val="14E57D8D"/>
    <w:rsid w:val="14F3116A"/>
    <w:rsid w:val="159979DA"/>
    <w:rsid w:val="17C15910"/>
    <w:rsid w:val="186B3E2E"/>
    <w:rsid w:val="18DD2571"/>
    <w:rsid w:val="18F643C3"/>
    <w:rsid w:val="19125438"/>
    <w:rsid w:val="19D362B3"/>
    <w:rsid w:val="1A770B11"/>
    <w:rsid w:val="1B6171C7"/>
    <w:rsid w:val="1BBA588B"/>
    <w:rsid w:val="1BFE4482"/>
    <w:rsid w:val="1C426546"/>
    <w:rsid w:val="1D107973"/>
    <w:rsid w:val="1DEC0AF7"/>
    <w:rsid w:val="1F5807AE"/>
    <w:rsid w:val="1FC63927"/>
    <w:rsid w:val="20DB4FEC"/>
    <w:rsid w:val="226B6C9C"/>
    <w:rsid w:val="24754092"/>
    <w:rsid w:val="28076CDE"/>
    <w:rsid w:val="280F426C"/>
    <w:rsid w:val="28734454"/>
    <w:rsid w:val="2A245D35"/>
    <w:rsid w:val="2DB70798"/>
    <w:rsid w:val="2E773EFE"/>
    <w:rsid w:val="2F55351C"/>
    <w:rsid w:val="2FA749FE"/>
    <w:rsid w:val="309907AF"/>
    <w:rsid w:val="31642708"/>
    <w:rsid w:val="33EA798E"/>
    <w:rsid w:val="362746A9"/>
    <w:rsid w:val="39AF5342"/>
    <w:rsid w:val="3A34067D"/>
    <w:rsid w:val="3B0F7992"/>
    <w:rsid w:val="3D783D94"/>
    <w:rsid w:val="3DD5749F"/>
    <w:rsid w:val="3F2A6285"/>
    <w:rsid w:val="40FC3769"/>
    <w:rsid w:val="43D06668"/>
    <w:rsid w:val="47381A87"/>
    <w:rsid w:val="481C0BF8"/>
    <w:rsid w:val="48C26264"/>
    <w:rsid w:val="49AB338C"/>
    <w:rsid w:val="4A042583"/>
    <w:rsid w:val="4B9A7246"/>
    <w:rsid w:val="4FFA17F6"/>
    <w:rsid w:val="50F16F42"/>
    <w:rsid w:val="577D63A4"/>
    <w:rsid w:val="58903FBC"/>
    <w:rsid w:val="58E32799"/>
    <w:rsid w:val="5A0278DD"/>
    <w:rsid w:val="5A4A0608"/>
    <w:rsid w:val="5DE87AEC"/>
    <w:rsid w:val="5E0B7EA3"/>
    <w:rsid w:val="5E146C3D"/>
    <w:rsid w:val="5E20742A"/>
    <w:rsid w:val="5F1503AA"/>
    <w:rsid w:val="600839D4"/>
    <w:rsid w:val="60A542E0"/>
    <w:rsid w:val="61451C3E"/>
    <w:rsid w:val="615753A3"/>
    <w:rsid w:val="62A978C5"/>
    <w:rsid w:val="62C76633"/>
    <w:rsid w:val="631C0499"/>
    <w:rsid w:val="66BA480C"/>
    <w:rsid w:val="67CF5751"/>
    <w:rsid w:val="69260303"/>
    <w:rsid w:val="6AD7496C"/>
    <w:rsid w:val="6DD074B1"/>
    <w:rsid w:val="6EBE3043"/>
    <w:rsid w:val="72CE6A1A"/>
    <w:rsid w:val="72D7661B"/>
    <w:rsid w:val="77442E5B"/>
    <w:rsid w:val="778A1C35"/>
    <w:rsid w:val="7A7601EF"/>
    <w:rsid w:val="7AAB7059"/>
    <w:rsid w:val="7BE470BD"/>
    <w:rsid w:val="7C3C4C54"/>
    <w:rsid w:val="7C926EEC"/>
    <w:rsid w:val="7DF17C64"/>
    <w:rsid w:val="7F0D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color w:val="000000"/>
      <w:kern w:val="0"/>
      <w:sz w:val="24"/>
      <w:szCs w:val="20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spacing w:after="120" w:line="240" w:lineRule="auto"/>
      <w:ind w:left="420" w:leftChars="200" w:firstLine="420" w:firstLineChars="200"/>
    </w:pPr>
    <w:rPr>
      <w:rFonts w:eastAsia="仿宋_GB2312"/>
      <w:snapToGrid w:val="0"/>
      <w:color w:val="000000"/>
      <w:kern w:val="0"/>
      <w:sz w:val="28"/>
      <w:szCs w:val="20"/>
    </w:rPr>
  </w:style>
  <w:style w:type="paragraph" w:styleId="3">
    <w:name w:val="Body Text Indent"/>
    <w:basedOn w:val="1"/>
    <w:unhideWhenUsed/>
    <w:qFormat/>
    <w:uiPriority w:val="99"/>
    <w:pPr>
      <w:spacing w:line="360" w:lineRule="auto"/>
      <w:ind w:firstLine="600" w:firstLineChars="250"/>
    </w:pPr>
    <w:rPr>
      <w:color w:val="FF0000"/>
      <w:sz w:val="24"/>
    </w:rPr>
  </w:style>
  <w:style w:type="paragraph" w:styleId="4">
    <w:name w:val="annotation text"/>
    <w:basedOn w:val="1"/>
    <w:unhideWhenUsed/>
    <w:qFormat/>
    <w:uiPriority w:val="99"/>
    <w:pPr>
      <w:jc w:val="left"/>
    </w:p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7">
    <w:name w:val="toc 1"/>
    <w:basedOn w:val="1"/>
    <w:next w:val="1"/>
    <w:semiHidden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semiHidden/>
    <w:qFormat/>
    <w:uiPriority w:val="99"/>
    <w:rPr>
      <w:sz w:val="18"/>
      <w:szCs w:val="18"/>
    </w:rPr>
  </w:style>
  <w:style w:type="paragraph" w:customStyle="1" w:styleId="13">
    <w:name w:val="样式 正文文本缩进 + 行距: 1.5 倍行距"/>
    <w:basedOn w:val="1"/>
    <w:qFormat/>
    <w:uiPriority w:val="0"/>
    <w:pPr>
      <w:spacing w:after="120" w:line="360" w:lineRule="auto"/>
      <w:ind w:left="90" w:leftChars="32" w:firstLine="560" w:firstLineChars="200"/>
    </w:pPr>
    <w:rPr>
      <w:rFonts w:cs="宋体"/>
    </w:rPr>
  </w:style>
  <w:style w:type="character" w:customStyle="1" w:styleId="14">
    <w:name w:val="font4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3074" textRotate="1"/>
    <customShpInfo spid="_x0000_s2051"/>
    <customShpInfo spid="_x0000_s2050"/>
    <customShpInfo spid="_x0000_s2053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43C8BA-F494-4C5A-A5D1-CDF7DA3FAC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11</Pages>
  <Words>381</Words>
  <Characters>2177</Characters>
  <Lines>18</Lines>
  <Paragraphs>5</Paragraphs>
  <TotalTime>0</TotalTime>
  <ScaleCrop>false</ScaleCrop>
  <LinksUpToDate>false</LinksUpToDate>
  <CharactersWithSpaces>2553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2016-01-08T04:55:00Z</dcterms:created>
  <dc:creator>Administrator</dc:creator>
  <cp:lastModifiedBy>晚上</cp:lastModifiedBy>
  <dcterms:modified xsi:type="dcterms:W3CDTF">2018-05-05T10:27:29Z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