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jc w:val="center"/>
        <w:rPr>
          <w:b/>
          <w:w w:val="95"/>
          <w:sz w:val="28"/>
          <w:szCs w:val="28"/>
          <w:lang w:eastAsia="zh-CN"/>
        </w:rPr>
      </w:pPr>
      <w:r>
        <w:rPr>
          <w:rFonts w:hint="eastAsia"/>
          <w:b/>
          <w:w w:val="95"/>
          <w:sz w:val="28"/>
          <w:szCs w:val="28"/>
          <w:lang w:eastAsia="zh-CN"/>
        </w:rPr>
        <w:t>山东裕华发展有限公司</w:t>
      </w:r>
    </w:p>
    <w:p>
      <w:pPr>
        <w:pStyle w:val="8"/>
        <w:spacing w:line="360" w:lineRule="auto"/>
        <w:jc w:val="center"/>
        <w:rPr>
          <w:b/>
          <w:bCs/>
          <w:sz w:val="28"/>
          <w:szCs w:val="28"/>
          <w:lang w:eastAsia="zh-CN"/>
        </w:rPr>
      </w:pPr>
      <w:r>
        <w:rPr>
          <w:rFonts w:hint="eastAsia"/>
          <w:b/>
          <w:w w:val="95"/>
          <w:sz w:val="28"/>
          <w:szCs w:val="28"/>
          <w:lang w:eastAsia="zh-CN"/>
        </w:rPr>
        <w:t>诸城龙苑尚城建设项目（一期）</w:t>
      </w:r>
      <w:r>
        <w:rPr>
          <w:rFonts w:hint="eastAsia"/>
          <w:b/>
          <w:bCs/>
          <w:sz w:val="28"/>
          <w:szCs w:val="28"/>
          <w:lang w:eastAsia="zh-CN"/>
        </w:rPr>
        <w:t>竣工环境保护验收意见</w:t>
      </w:r>
    </w:p>
    <w:p>
      <w:pPr>
        <w:ind w:firstLine="480" w:firstLineChars="200"/>
        <w:rPr>
          <w:rFonts w:hint="eastAsia"/>
          <w:sz w:val="24"/>
          <w:szCs w:val="24"/>
          <w:lang w:eastAsia="zh-CN"/>
        </w:rPr>
      </w:pPr>
      <w:bookmarkStart w:id="1" w:name="_GoBack"/>
      <w:bookmarkEnd w:id="1"/>
      <w:r>
        <w:rPr>
          <w:rFonts w:hint="eastAsia"/>
          <w:sz w:val="24"/>
          <w:szCs w:val="24"/>
          <w:lang w:eastAsia="zh-CN"/>
        </w:rPr>
        <w:t>2018年4月29日，山东裕华发展有限公司组织召开了“山东裕华发展有限公司诸城龙苑尚城建设项目（一期）”竣工环保自主验收会议。验收工作组由建设单位-山东裕华发展有限公司、施工单位-，监理单位-，环评单位-环境保护部南京环境科学研究所、验收监测单位-山东华一检测有限公司、验收监测报告编写单位-山东裕华发展有限公司及1名特邀专家组成。验收工作组听取了建设单位情况汇报，查看了相关资料，现场查看并核实了本项目建设环境保护设施的建设与运行情况，按照《建设项目竣工环境保护验收暂行办法》的要求，经认真讨论研究，形成以下验收意见：</w:t>
      </w:r>
    </w:p>
    <w:p>
      <w:pPr>
        <w:spacing w:line="360" w:lineRule="auto"/>
        <w:ind w:firstLine="482" w:firstLineChars="2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一、工程建设基本情况</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（一）建设地点、规模、主要建设内容</w:t>
      </w:r>
    </w:p>
    <w:p>
      <w:pPr>
        <w:ind w:firstLine="480" w:firstLineChars="200"/>
        <w:rPr>
          <w:rFonts w:hint="eastAsia"/>
          <w:sz w:val="24"/>
          <w:szCs w:val="24"/>
          <w:lang w:eastAsia="zh-CN"/>
        </w:rPr>
      </w:pPr>
      <w:r>
        <w:rPr>
          <w:rFonts w:hint="eastAsia"/>
          <w:sz w:val="24"/>
          <w:szCs w:val="24"/>
          <w:lang w:eastAsia="zh-CN"/>
        </w:rPr>
        <w:t>山东裕华发展有限公司位于诸城市兴华西路与西外环交叉口东北角，东至2081正好小区，西至西环路，南至兴华西路，北至佳和世纪城；建设性质为：新建。建设内容：1#商住楼、2#商住楼、3#住宅楼、4#住宅楼、1#拐角商业楼、2#拐角商业楼、1</w:t>
      </w:r>
      <w:bookmarkStart w:id="0" w:name="_Hlk512781955"/>
      <w:r>
        <w:rPr>
          <w:rFonts w:hint="eastAsia"/>
          <w:sz w:val="24"/>
          <w:szCs w:val="24"/>
          <w:lang w:eastAsia="zh-CN"/>
        </w:rPr>
        <w:t>#</w:t>
      </w:r>
      <w:bookmarkEnd w:id="0"/>
      <w:r>
        <w:rPr>
          <w:rFonts w:hint="eastAsia"/>
          <w:sz w:val="24"/>
          <w:szCs w:val="24"/>
          <w:lang w:eastAsia="zh-CN"/>
        </w:rPr>
        <w:t>综合楼、2#综合楼、幼儿园、8#商住楼、9#商住楼、10#商住楼、5#商业楼；该项目规划用地面积为81117平方米（合121.67亩），总建筑面积为241546.57平方米。</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（二）建设过程及环保审批情况</w:t>
      </w:r>
    </w:p>
    <w:p>
      <w:pPr>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2012年10月9日，潍坊市环境保护局以《关于山东裕华发展有限公司诸城龙苑尚城建设项目环境影响报告书的批复》&lt;潍环审字【2012】212号&gt;对该报告书进行了批复。</w:t>
      </w:r>
    </w:p>
    <w:p>
      <w:pPr>
        <w:numPr>
          <w:ilvl w:val="0"/>
          <w:numId w:val="3"/>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投资情况</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项目总投资71912</w:t>
      </w:r>
      <w:r>
        <w:rPr>
          <w:rFonts w:hint="eastAsia" w:asciiTheme="minorEastAsia" w:hAnsiTheme="minorEastAsia" w:eastAsiaTheme="minorEastAsia" w:cstheme="minorEastAsia"/>
          <w:sz w:val="24"/>
          <w:szCs w:val="24"/>
          <w:lang w:eastAsia="zh-CN"/>
        </w:rPr>
        <w:t>万元，环保投资600</w:t>
      </w:r>
      <w:r>
        <w:rPr>
          <w:rFonts w:hint="eastAsia" w:asciiTheme="minorEastAsia" w:hAnsiTheme="minorEastAsia" w:eastAsiaTheme="minorEastAsia" w:cstheme="minorEastAsia"/>
          <w:sz w:val="24"/>
          <w:szCs w:val="24"/>
          <w:lang w:eastAsia="zh-CN"/>
        </w:rPr>
        <w:t>万元；占总投资的0.83</w:t>
      </w:r>
      <w:r>
        <w:rPr>
          <w:rFonts w:hint="eastAsia" w:asciiTheme="minorEastAsia" w:hAnsiTheme="minorEastAsia" w:eastAsiaTheme="minorEastAsia" w:cstheme="minorEastAsia"/>
          <w:sz w:val="24"/>
          <w:szCs w:val="24"/>
          <w:lang w:eastAsia="zh-CN"/>
        </w:rPr>
        <w:t>%。</w:t>
      </w:r>
    </w:p>
    <w:p>
      <w:pPr>
        <w:numPr>
          <w:ilvl w:val="0"/>
          <w:numId w:val="3"/>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验收范围</w:t>
      </w:r>
    </w:p>
    <w:p>
      <w:pPr>
        <w:ind w:firstLine="480" w:firstLineChars="200"/>
        <w:rPr>
          <w:rFonts w:hint="eastAsia"/>
          <w:sz w:val="24"/>
          <w:szCs w:val="24"/>
          <w:lang w:eastAsia="zh-CN"/>
        </w:rPr>
      </w:pPr>
      <w:r>
        <w:rPr>
          <w:rFonts w:hint="eastAsia"/>
          <w:sz w:val="24"/>
          <w:szCs w:val="24"/>
          <w:lang w:eastAsia="zh-CN"/>
        </w:rPr>
        <w:t>山东裕华发展有限公司诸城龙苑尚城建设项目（一期）已经建成的1#、2#、8#、9#、10#商住楼，3#、4#住宅楼，1#、2#拐角商业楼，1#、2#综合楼，幼儿园，5#商业楼。</w:t>
      </w:r>
    </w:p>
    <w:p>
      <w:pPr>
        <w:numPr>
          <w:ilvl w:val="0"/>
          <w:numId w:val="4"/>
        </w:numPr>
        <w:tabs>
          <w:tab w:val="left" w:pos="3237"/>
        </w:tabs>
        <w:spacing w:line="360" w:lineRule="auto"/>
        <w:ind w:firstLine="482" w:firstLineChars="2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rPr>
        <w:t>工程变动情况</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该项目总用地面积不变，为81117平方米；因容积率由原先规划审批的2.9调整为2.5，总建筑面积由原先的297423平方米调整为241546.57平方米</w:t>
      </w:r>
    </w:p>
    <w:p>
      <w:pPr>
        <w:pStyle w:val="2"/>
        <w:ind w:left="0" w:leftChars="0" w:firstLine="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项目建筑面积减少，污染物排放减少，向着有利于环境保护的方向变更，变更不属于重大变更，在本次验收中对变更予以确认。</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工程建设分为两期：项目一期建设</w:t>
      </w:r>
      <w:r>
        <w:rPr>
          <w:rFonts w:hint="eastAsia" w:asciiTheme="minorEastAsia" w:hAnsiTheme="minorEastAsia" w:eastAsiaTheme="minorEastAsia" w:cstheme="minorEastAsia"/>
          <w:kern w:val="2"/>
          <w:sz w:val="24"/>
          <w:szCs w:val="24"/>
          <w:lang w:eastAsia="zh-CN"/>
        </w:rPr>
        <w:t>1#商住楼、2#商住楼、3#住宅楼、4#住宅楼、1#拐角商业楼、2#拐角商业楼、1#综合楼、2综合楼、幼儿园、8#商住楼、9#商住楼、10#商住楼、5#商业楼；二期项目为二期工程为中水站、、3#商业楼、4#商业楼、6#商业楼、5#住宅楼、6#住宅楼、7#住宅楼。</w:t>
      </w:r>
    </w:p>
    <w:p>
      <w:pPr>
        <w:spacing w:line="360" w:lineRule="auto"/>
        <w:ind w:firstLine="482" w:firstLineChars="2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三、环境保护设施建设情况</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（一）废水</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本项目废水主要生活污水。生活污水</w:t>
      </w:r>
      <w:r>
        <w:rPr>
          <w:rFonts w:hint="eastAsia" w:asciiTheme="minorEastAsia" w:hAnsiTheme="minorEastAsia" w:eastAsiaTheme="minorEastAsia" w:cstheme="minorEastAsia"/>
          <w:sz w:val="24"/>
          <w:szCs w:val="24"/>
          <w:lang w:eastAsia="zh-CN"/>
        </w:rPr>
        <w:t>经化粪池处理后入城镇污水管网由诸城市舜河污水处理厂集中处理</w:t>
      </w:r>
      <w:r>
        <w:rPr>
          <w:rFonts w:hint="eastAsia" w:asciiTheme="minorEastAsia" w:hAnsiTheme="minorEastAsia" w:eastAsiaTheme="minorEastAsia" w:cstheme="minorEastAsia"/>
          <w:color w:val="000000"/>
          <w:sz w:val="24"/>
          <w:szCs w:val="24"/>
          <w:lang w:eastAsia="zh-CN"/>
        </w:rPr>
        <w:t>进一步处理后外排潍河。</w:t>
      </w:r>
    </w:p>
    <w:p>
      <w:pPr>
        <w:pStyle w:val="4"/>
        <w:spacing w:after="0"/>
        <w:ind w:left="0" w:leftChars="0" w:firstLine="48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（二）废气</w:t>
      </w:r>
    </w:p>
    <w:p>
      <w:pPr>
        <w:pStyle w:val="2"/>
        <w:spacing w:line="360" w:lineRule="auto"/>
        <w:ind w:left="198" w:leftChars="90" w:firstLine="456" w:firstLineChars="19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本项目废气主要由</w:t>
      </w:r>
      <w:r>
        <w:rPr>
          <w:rFonts w:hint="eastAsia" w:asciiTheme="minorEastAsia" w:hAnsiTheme="minorEastAsia" w:eastAsiaTheme="minorEastAsia" w:cstheme="minorEastAsia"/>
          <w:sz w:val="24"/>
          <w:szCs w:val="24"/>
          <w:lang w:eastAsia="zh-CN"/>
        </w:rPr>
        <w:t>厨房公用烟道、机械排风无组织排放。</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（三）噪声</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噪声汽车出让小区口的交通噪声和人员社会活动噪声，对周围环境影响较小。水泵、配电室、热转换泵等通过绿化和距离衰减对地上周围环境影响较小符合要求。小区建有景观绿化，物业公司加强管理，确保项目噪声排放达到《工业企业厂界环境噪声排放标准》（GB12348-2008）中2类标准和《社会生活环境噪声排放标准》（GB22337-2008）中的2类标准，不会对住户及外环境产生影响。</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（四）固体废物</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该项目运营过程中产生的主要废物为居民和商业配套产生的生活垃圾。生活垃圾每天定时由环卫部门统一收集处理，对周边环境没有影响。</w:t>
      </w:r>
    </w:p>
    <w:p>
      <w:pPr>
        <w:spacing w:line="360" w:lineRule="auto"/>
        <w:ind w:firstLine="482" w:firstLineChars="2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四、环境保护设施调试效果</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（一）污染物达标排放情况</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1.废水</w:t>
      </w:r>
    </w:p>
    <w:p>
      <w:pPr>
        <w:pStyle w:val="14"/>
        <w:ind w:firstLine="48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污水监测结果表明，厂区总排口pH范围为8.17~8.23，化学需氧量浓度范围为91mg/L~95mg/L，五日生化需氧量BOD</w:t>
      </w:r>
      <w:r>
        <w:rPr>
          <w:rFonts w:hint="eastAsia" w:asciiTheme="minorEastAsia" w:hAnsiTheme="minorEastAsia" w:eastAsiaTheme="minorEastAsia" w:cstheme="minorEastAsia"/>
          <w:sz w:val="24"/>
          <w:szCs w:val="24"/>
          <w:vertAlign w:val="subscript"/>
          <w:lang w:eastAsia="zh-CN"/>
        </w:rPr>
        <w:t>5</w:t>
      </w:r>
      <w:r>
        <w:rPr>
          <w:rFonts w:hint="eastAsia" w:asciiTheme="minorEastAsia" w:hAnsiTheme="minorEastAsia" w:eastAsiaTheme="minorEastAsia" w:cstheme="minorEastAsia"/>
          <w:sz w:val="24"/>
          <w:szCs w:val="24"/>
          <w:lang w:eastAsia="zh-CN"/>
        </w:rPr>
        <w:t>浓度范围为42.1mg/L~45.9mg/L，氨氮浓度范围为1.87mg/L~1.91mg/L，悬浮物浓度范围为43mg/L~48mg/L，满足《污水排入城镇下水道水质标准》（GBT31962-2015）B等级标准及舜河污水处理厂进水水质标准。</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2.废气</w:t>
      </w:r>
    </w:p>
    <w:p>
      <w:pPr>
        <w:pStyle w:val="7"/>
        <w:spacing w:line="360" w:lineRule="auto"/>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验收监测两天期间，无组织颗粒物最大浓度0.411mg/m</w:t>
      </w:r>
      <w:r>
        <w:rPr>
          <w:rFonts w:hint="eastAsia" w:asciiTheme="minorEastAsia" w:hAnsiTheme="minorEastAsia" w:eastAsiaTheme="minorEastAsia" w:cstheme="minorEastAsia"/>
          <w:bCs/>
          <w:sz w:val="24"/>
          <w:szCs w:val="24"/>
          <w:vertAlign w:val="superscript"/>
          <w:lang w:eastAsia="zh-CN"/>
        </w:rPr>
        <w:t>3</w:t>
      </w:r>
      <w:r>
        <w:rPr>
          <w:rFonts w:hint="eastAsia" w:asciiTheme="minorEastAsia" w:hAnsiTheme="minorEastAsia" w:eastAsiaTheme="minorEastAsia" w:cstheme="minorEastAsia"/>
          <w:bCs/>
          <w:sz w:val="24"/>
          <w:szCs w:val="24"/>
          <w:lang w:eastAsia="zh-CN"/>
        </w:rPr>
        <w:t>，满足《山东省固定源大气颗粒物综合排放标准》（DB37/1996-2011）表3标准要求。</w:t>
      </w:r>
    </w:p>
    <w:p>
      <w:pPr>
        <w:adjustRightInd w:val="0"/>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3.厂界噪声</w:t>
      </w:r>
    </w:p>
    <w:p>
      <w:pPr>
        <w:pStyle w:val="14"/>
        <w:spacing w:before="156" w:beforeLines="50"/>
        <w:ind w:firstLine="48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zh-CN" w:eastAsia="zh-CN"/>
        </w:rPr>
        <w:t>噪声监测结果表明，</w:t>
      </w:r>
      <w:r>
        <w:rPr>
          <w:rFonts w:hint="eastAsia" w:asciiTheme="minorEastAsia" w:hAnsiTheme="minorEastAsia" w:eastAsiaTheme="minorEastAsia" w:cstheme="minorEastAsia"/>
          <w:sz w:val="24"/>
          <w:szCs w:val="24"/>
          <w:lang w:eastAsia="zh-CN"/>
        </w:rPr>
        <w:t>各厂界昼间噪声最大值为55.5dB(A)，夜间噪声最大值为46.7dB(A)，满足《工业企业厂界环境噪声排放标准》（GB12348-2008）2类标准要求。</w:t>
      </w:r>
    </w:p>
    <w:p>
      <w:pPr>
        <w:pStyle w:val="6"/>
        <w:numPr>
          <w:ilvl w:val="0"/>
          <w:numId w:val="5"/>
        </w:numPr>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污染物排放总量核算</w:t>
      </w:r>
    </w:p>
    <w:tbl>
      <w:tblPr>
        <w:tblStyle w:val="13"/>
        <w:tblpPr w:leftFromText="180" w:rightFromText="180" w:vertAnchor="text" w:horzAnchor="page" w:tblpX="1322" w:tblpY="76"/>
        <w:tblOverlap w:val="never"/>
        <w:tblW w:w="9568"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622"/>
        <w:gridCol w:w="1610"/>
        <w:gridCol w:w="1597"/>
        <w:gridCol w:w="1596"/>
        <w:gridCol w:w="158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55" w:type="dxa"/>
            <w:tcBorders>
              <w:tl2br w:val="nil"/>
              <w:tr2bl w:val="nil"/>
            </w:tcBorders>
            <w:vAlign w:val="center"/>
          </w:tcPr>
          <w:p>
            <w:pPr>
              <w:autoSpaceDE/>
              <w:autoSpaceDN/>
              <w:adjustRightInd w:val="0"/>
              <w:snapToGrid w:val="0"/>
              <w:spacing w:line="360" w:lineRule="auto"/>
              <w:ind w:firstLine="482" w:firstLineChars="200"/>
              <w:jc w:val="center"/>
              <w:rPr>
                <w:rFonts w:hint="eastAsia" w:asciiTheme="minorEastAsia" w:hAnsiTheme="minorEastAsia" w:eastAsiaTheme="minorEastAsia" w:cstheme="minorEastAsia"/>
                <w:b/>
                <w:bCs/>
                <w:kern w:val="44"/>
                <w:sz w:val="24"/>
                <w:szCs w:val="24"/>
                <w:lang w:eastAsia="zh-CN"/>
              </w:rPr>
            </w:pPr>
            <w:r>
              <w:rPr>
                <w:rFonts w:hint="eastAsia" w:asciiTheme="minorEastAsia" w:hAnsiTheme="minorEastAsia" w:eastAsiaTheme="minorEastAsia" w:cstheme="minorEastAsia"/>
                <w:b/>
                <w:bCs/>
                <w:kern w:val="44"/>
                <w:sz w:val="24"/>
                <w:szCs w:val="24"/>
                <w:lang w:eastAsia="zh-CN"/>
              </w:rPr>
              <w:t>种类</w:t>
            </w:r>
          </w:p>
        </w:tc>
        <w:tc>
          <w:tcPr>
            <w:tcW w:w="1622" w:type="dxa"/>
            <w:tcBorders>
              <w:tl2br w:val="nil"/>
              <w:tr2bl w:val="nil"/>
            </w:tcBorders>
            <w:vAlign w:val="center"/>
          </w:tcPr>
          <w:p>
            <w:pPr>
              <w:autoSpaceDE/>
              <w:autoSpaceDN/>
              <w:adjustRightInd w:val="0"/>
              <w:snapToGrid w:val="0"/>
              <w:spacing w:line="360" w:lineRule="auto"/>
              <w:ind w:firstLine="482" w:firstLineChars="200"/>
              <w:jc w:val="center"/>
              <w:rPr>
                <w:rFonts w:hint="eastAsia" w:asciiTheme="minorEastAsia" w:hAnsiTheme="minorEastAsia" w:eastAsiaTheme="minorEastAsia" w:cstheme="minorEastAsia"/>
                <w:b/>
                <w:bCs/>
                <w:kern w:val="44"/>
                <w:sz w:val="24"/>
                <w:szCs w:val="24"/>
                <w:lang w:eastAsia="zh-CN"/>
              </w:rPr>
            </w:pPr>
            <w:r>
              <w:rPr>
                <w:rFonts w:hint="eastAsia" w:asciiTheme="minorEastAsia" w:hAnsiTheme="minorEastAsia" w:eastAsiaTheme="minorEastAsia" w:cstheme="minorEastAsia"/>
                <w:b/>
                <w:bCs/>
                <w:kern w:val="44"/>
                <w:sz w:val="24"/>
                <w:szCs w:val="24"/>
                <w:lang w:eastAsia="zh-CN"/>
              </w:rPr>
              <w:t>污染物名称</w:t>
            </w:r>
          </w:p>
        </w:tc>
        <w:tc>
          <w:tcPr>
            <w:tcW w:w="1610" w:type="dxa"/>
            <w:tcBorders>
              <w:tl2br w:val="nil"/>
              <w:tr2bl w:val="nil"/>
            </w:tcBorders>
            <w:vAlign w:val="center"/>
          </w:tcPr>
          <w:p>
            <w:pPr>
              <w:autoSpaceDE/>
              <w:autoSpaceDN/>
              <w:adjustRightInd w:val="0"/>
              <w:snapToGrid w:val="0"/>
              <w:spacing w:line="360" w:lineRule="auto"/>
              <w:ind w:firstLine="482" w:firstLineChars="200"/>
              <w:jc w:val="center"/>
              <w:rPr>
                <w:rFonts w:hint="eastAsia" w:asciiTheme="minorEastAsia" w:hAnsiTheme="minorEastAsia" w:eastAsiaTheme="minorEastAsia" w:cstheme="minorEastAsia"/>
                <w:b/>
                <w:bCs/>
                <w:kern w:val="44"/>
                <w:sz w:val="24"/>
                <w:szCs w:val="24"/>
                <w:lang w:eastAsia="zh-CN"/>
              </w:rPr>
            </w:pPr>
            <w:r>
              <w:rPr>
                <w:rFonts w:hint="eastAsia" w:asciiTheme="minorEastAsia" w:hAnsiTheme="minorEastAsia" w:eastAsiaTheme="minorEastAsia" w:cstheme="minorEastAsia"/>
                <w:b/>
                <w:bCs/>
                <w:kern w:val="44"/>
                <w:sz w:val="24"/>
                <w:szCs w:val="24"/>
                <w:lang w:eastAsia="zh-CN"/>
              </w:rPr>
              <w:t>排放浓度</w:t>
            </w:r>
          </w:p>
        </w:tc>
        <w:tc>
          <w:tcPr>
            <w:tcW w:w="1597" w:type="dxa"/>
            <w:tcBorders>
              <w:tl2br w:val="nil"/>
              <w:tr2bl w:val="nil"/>
            </w:tcBorders>
            <w:vAlign w:val="center"/>
          </w:tcPr>
          <w:p>
            <w:pPr>
              <w:autoSpaceDE/>
              <w:autoSpaceDN/>
              <w:adjustRightInd w:val="0"/>
              <w:snapToGrid w:val="0"/>
              <w:spacing w:line="360" w:lineRule="auto"/>
              <w:ind w:firstLine="482" w:firstLineChars="200"/>
              <w:jc w:val="center"/>
              <w:rPr>
                <w:rFonts w:hint="eastAsia" w:asciiTheme="minorEastAsia" w:hAnsiTheme="minorEastAsia" w:eastAsiaTheme="minorEastAsia" w:cstheme="minorEastAsia"/>
                <w:b/>
                <w:bCs/>
                <w:kern w:val="44"/>
                <w:sz w:val="24"/>
                <w:szCs w:val="24"/>
                <w:lang w:eastAsia="zh-CN"/>
              </w:rPr>
            </w:pPr>
            <w:r>
              <w:rPr>
                <w:rFonts w:hint="eastAsia" w:asciiTheme="minorEastAsia" w:hAnsiTheme="minorEastAsia" w:eastAsiaTheme="minorEastAsia" w:cstheme="minorEastAsia"/>
                <w:b/>
                <w:bCs/>
                <w:kern w:val="44"/>
                <w:sz w:val="24"/>
                <w:szCs w:val="24"/>
                <w:lang w:eastAsia="zh-CN"/>
              </w:rPr>
              <w:t>年排放量（t/a）</w:t>
            </w:r>
          </w:p>
        </w:tc>
        <w:tc>
          <w:tcPr>
            <w:tcW w:w="1596" w:type="dxa"/>
            <w:tcBorders>
              <w:tl2br w:val="nil"/>
              <w:tr2bl w:val="nil"/>
            </w:tcBorders>
            <w:vAlign w:val="center"/>
          </w:tcPr>
          <w:p>
            <w:pPr>
              <w:autoSpaceDE/>
              <w:autoSpaceDN/>
              <w:adjustRightInd w:val="0"/>
              <w:snapToGrid w:val="0"/>
              <w:spacing w:line="360" w:lineRule="auto"/>
              <w:ind w:firstLine="482" w:firstLineChars="200"/>
              <w:jc w:val="center"/>
              <w:rPr>
                <w:rFonts w:hint="eastAsia" w:asciiTheme="minorEastAsia" w:hAnsiTheme="minorEastAsia" w:eastAsiaTheme="minorEastAsia" w:cstheme="minorEastAsia"/>
                <w:b/>
                <w:bCs/>
                <w:kern w:val="44"/>
                <w:sz w:val="24"/>
                <w:szCs w:val="24"/>
                <w:lang w:eastAsia="zh-CN"/>
              </w:rPr>
            </w:pPr>
            <w:r>
              <w:rPr>
                <w:rFonts w:hint="eastAsia" w:asciiTheme="minorEastAsia" w:hAnsiTheme="minorEastAsia" w:eastAsiaTheme="minorEastAsia" w:cstheme="minorEastAsia"/>
                <w:b/>
                <w:bCs/>
                <w:kern w:val="44"/>
                <w:sz w:val="24"/>
                <w:szCs w:val="24"/>
                <w:lang w:eastAsia="zh-CN"/>
              </w:rPr>
              <w:t>总量控制指标（t/a）</w:t>
            </w:r>
          </w:p>
        </w:tc>
        <w:tc>
          <w:tcPr>
            <w:tcW w:w="1588" w:type="dxa"/>
            <w:tcBorders>
              <w:tl2br w:val="nil"/>
              <w:tr2bl w:val="nil"/>
            </w:tcBorders>
            <w:vAlign w:val="center"/>
          </w:tcPr>
          <w:p>
            <w:pPr>
              <w:autoSpaceDE/>
              <w:autoSpaceDN/>
              <w:adjustRightInd w:val="0"/>
              <w:snapToGrid w:val="0"/>
              <w:spacing w:line="360" w:lineRule="auto"/>
              <w:ind w:firstLine="482" w:firstLineChars="200"/>
              <w:jc w:val="center"/>
              <w:rPr>
                <w:rFonts w:hint="eastAsia" w:asciiTheme="minorEastAsia" w:hAnsiTheme="minorEastAsia" w:eastAsiaTheme="minorEastAsia" w:cstheme="minorEastAsia"/>
                <w:b/>
                <w:bCs/>
                <w:kern w:val="44"/>
                <w:sz w:val="24"/>
                <w:szCs w:val="24"/>
                <w:lang w:eastAsia="zh-CN"/>
              </w:rPr>
            </w:pPr>
            <w:r>
              <w:rPr>
                <w:rFonts w:hint="eastAsia" w:asciiTheme="minorEastAsia" w:hAnsiTheme="minorEastAsia" w:eastAsiaTheme="minorEastAsia" w:cstheme="minorEastAsia"/>
                <w:b/>
                <w:bCs/>
                <w:kern w:val="44"/>
                <w:sz w:val="24"/>
                <w:szCs w:val="24"/>
                <w:lang w:eastAsia="zh-CN"/>
              </w:rPr>
              <w:t>是否达标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55" w:type="dxa"/>
            <w:vMerge w:val="restart"/>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废水</w:t>
            </w:r>
          </w:p>
        </w:tc>
        <w:tc>
          <w:tcPr>
            <w:tcW w:w="1622" w:type="dxa"/>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氨氮</w:t>
            </w:r>
          </w:p>
        </w:tc>
        <w:tc>
          <w:tcPr>
            <w:tcW w:w="1610" w:type="dxa"/>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sz w:val="24"/>
                <w:szCs w:val="24"/>
                <w:lang w:eastAsia="zh-CN"/>
              </w:rPr>
              <w:t>1.91</w:t>
            </w:r>
            <w:r>
              <w:rPr>
                <w:rFonts w:hint="eastAsia" w:asciiTheme="minorEastAsia" w:hAnsiTheme="minorEastAsia" w:eastAsiaTheme="minorEastAsia" w:cstheme="minorEastAsia"/>
                <w:sz w:val="24"/>
                <w:szCs w:val="24"/>
              </w:rPr>
              <w:t>mg/</w:t>
            </w:r>
            <w:r>
              <w:rPr>
                <w:rFonts w:hint="eastAsia" w:asciiTheme="minorEastAsia" w:hAnsiTheme="minorEastAsia" w:eastAsiaTheme="minorEastAsia" w:cstheme="minorEastAsia"/>
                <w:sz w:val="24"/>
                <w:szCs w:val="24"/>
                <w:lang w:eastAsia="zh-CN"/>
              </w:rPr>
              <w:t>L</w:t>
            </w:r>
          </w:p>
        </w:tc>
        <w:tc>
          <w:tcPr>
            <w:tcW w:w="1597" w:type="dxa"/>
            <w:tcBorders>
              <w:tl2br w:val="nil"/>
              <w:tr2bl w:val="nil"/>
            </w:tcBorders>
            <w:vAlign w:val="center"/>
          </w:tcPr>
          <w:p>
            <w:pPr>
              <w:widowControl/>
              <w:autoSpaceDE/>
              <w:autoSpaceDN/>
              <w:adjustRightInd w:val="0"/>
              <w:snapToGrid w:val="0"/>
              <w:spacing w:line="360" w:lineRule="auto"/>
              <w:ind w:firstLine="480" w:firstLineChars="200"/>
              <w:jc w:val="both"/>
              <w:textAlignment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5.50</w:t>
            </w:r>
          </w:p>
        </w:tc>
        <w:tc>
          <w:tcPr>
            <w:tcW w:w="1596" w:type="dxa"/>
            <w:tcBorders>
              <w:tl2br w:val="nil"/>
              <w:tr2bl w:val="nil"/>
            </w:tcBorders>
            <w:vAlign w:val="center"/>
          </w:tcPr>
          <w:p>
            <w:pPr>
              <w:widowControl/>
              <w:autoSpaceDE/>
              <w:autoSpaceDN/>
              <w:adjustRightInd w:val="0"/>
              <w:snapToGrid w:val="0"/>
              <w:spacing w:line="360" w:lineRule="auto"/>
              <w:ind w:firstLine="480" w:firstLineChars="200"/>
              <w:jc w:val="center"/>
              <w:textAlignment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6.30</w:t>
            </w:r>
          </w:p>
        </w:tc>
        <w:tc>
          <w:tcPr>
            <w:tcW w:w="1588" w:type="dxa"/>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55" w:type="dxa"/>
            <w:vMerge w:val="continue"/>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p>
        </w:tc>
        <w:tc>
          <w:tcPr>
            <w:tcW w:w="1622" w:type="dxa"/>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COD</w:t>
            </w:r>
          </w:p>
        </w:tc>
        <w:tc>
          <w:tcPr>
            <w:tcW w:w="1610" w:type="dxa"/>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sz w:val="24"/>
                <w:szCs w:val="24"/>
                <w:lang w:eastAsia="zh-CN"/>
              </w:rPr>
              <w:t>95</w:t>
            </w:r>
            <w:r>
              <w:rPr>
                <w:rFonts w:hint="eastAsia" w:asciiTheme="minorEastAsia" w:hAnsiTheme="minorEastAsia" w:eastAsiaTheme="minorEastAsia" w:cstheme="minorEastAsia"/>
                <w:sz w:val="24"/>
                <w:szCs w:val="24"/>
              </w:rPr>
              <w:t>mg/</w:t>
            </w:r>
            <w:r>
              <w:rPr>
                <w:rFonts w:hint="eastAsia" w:asciiTheme="minorEastAsia" w:hAnsiTheme="minorEastAsia" w:eastAsiaTheme="minorEastAsia" w:cstheme="minorEastAsia"/>
                <w:sz w:val="24"/>
                <w:szCs w:val="24"/>
                <w:lang w:eastAsia="zh-CN"/>
              </w:rPr>
              <w:t>L</w:t>
            </w:r>
          </w:p>
        </w:tc>
        <w:tc>
          <w:tcPr>
            <w:tcW w:w="1597" w:type="dxa"/>
            <w:tcBorders>
              <w:tl2br w:val="nil"/>
              <w:tr2bl w:val="nil"/>
            </w:tcBorders>
            <w:vAlign w:val="center"/>
          </w:tcPr>
          <w:p>
            <w:pPr>
              <w:widowControl/>
              <w:autoSpaceDE/>
              <w:autoSpaceDN/>
              <w:adjustRightInd w:val="0"/>
              <w:snapToGrid w:val="0"/>
              <w:spacing w:line="360" w:lineRule="auto"/>
              <w:ind w:firstLine="480" w:firstLineChars="200"/>
              <w:jc w:val="center"/>
              <w:textAlignment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60.20</w:t>
            </w:r>
          </w:p>
        </w:tc>
        <w:tc>
          <w:tcPr>
            <w:tcW w:w="1596" w:type="dxa"/>
            <w:tcBorders>
              <w:tl2br w:val="nil"/>
              <w:tr2bl w:val="nil"/>
            </w:tcBorders>
            <w:vAlign w:val="center"/>
          </w:tcPr>
          <w:p>
            <w:pPr>
              <w:widowControl/>
              <w:autoSpaceDE/>
              <w:autoSpaceDN/>
              <w:adjustRightInd w:val="0"/>
              <w:snapToGrid w:val="0"/>
              <w:spacing w:line="360" w:lineRule="auto"/>
              <w:ind w:firstLine="480" w:firstLineChars="200"/>
              <w:jc w:val="center"/>
              <w:textAlignment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73.49</w:t>
            </w:r>
          </w:p>
        </w:tc>
        <w:tc>
          <w:tcPr>
            <w:tcW w:w="1588" w:type="dxa"/>
            <w:tcBorders>
              <w:tl2br w:val="nil"/>
              <w:tr2bl w:val="nil"/>
            </w:tcBorders>
            <w:vAlign w:val="center"/>
          </w:tcPr>
          <w:p>
            <w:pPr>
              <w:autoSpaceDE/>
              <w:autoSpaceDN/>
              <w:adjustRightInd w:val="0"/>
              <w:snapToGrid w:val="0"/>
              <w:spacing w:line="360" w:lineRule="auto"/>
              <w:ind w:firstLine="480" w:firstLineChars="200"/>
              <w:jc w:val="center"/>
              <w:rPr>
                <w:rFonts w:hint="eastAsia" w:asciiTheme="minorEastAsia" w:hAnsiTheme="minorEastAsia" w:eastAsiaTheme="minorEastAsia" w:cstheme="minorEastAsia"/>
                <w:kern w:val="44"/>
                <w:sz w:val="24"/>
                <w:szCs w:val="24"/>
                <w:lang w:eastAsia="zh-CN"/>
              </w:rPr>
            </w:pPr>
            <w:r>
              <w:rPr>
                <w:rFonts w:hint="eastAsia" w:asciiTheme="minorEastAsia" w:hAnsiTheme="minorEastAsia" w:eastAsiaTheme="minorEastAsia" w:cstheme="minorEastAsia"/>
                <w:kern w:val="44"/>
                <w:sz w:val="24"/>
                <w:szCs w:val="24"/>
                <w:lang w:eastAsia="zh-CN"/>
              </w:rPr>
              <w:t>是</w:t>
            </w:r>
          </w:p>
        </w:tc>
      </w:tr>
    </w:tbl>
    <w:p>
      <w:pPr>
        <w:numPr>
          <w:ilvl w:val="0"/>
          <w:numId w:val="6"/>
        </w:numPr>
        <w:spacing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工程建设对环境的影响</w:t>
      </w:r>
    </w:p>
    <w:p>
      <w:pPr>
        <w:spacing w:line="360" w:lineRule="auto"/>
        <w:ind w:firstLine="48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1、环境空气</w:t>
      </w:r>
    </w:p>
    <w:p>
      <w:pPr>
        <w:spacing w:line="360" w:lineRule="auto"/>
        <w:ind w:firstLine="480" w:firstLineChars="200"/>
        <w:rPr>
          <w:rFonts w:hint="eastAsia" w:asciiTheme="minorEastAsia" w:hAnsiTheme="minorEastAsia" w:eastAsiaTheme="minorEastAsia" w:cstheme="minorEastAsia"/>
          <w:iCs/>
          <w:color w:val="000000"/>
          <w:sz w:val="24"/>
          <w:szCs w:val="24"/>
          <w:lang w:eastAsia="zh-CN"/>
        </w:rPr>
      </w:pPr>
      <w:r>
        <w:rPr>
          <w:rFonts w:hint="eastAsia" w:asciiTheme="minorEastAsia" w:hAnsiTheme="minorEastAsia" w:eastAsiaTheme="minorEastAsia" w:cstheme="minorEastAsia"/>
          <w:iCs/>
          <w:color w:val="000000"/>
          <w:sz w:val="24"/>
          <w:szCs w:val="24"/>
          <w:lang w:eastAsia="zh-CN"/>
        </w:rPr>
        <w:t>项目平面布置合理，落实了各项污染防治措施，排放的大气污染物对周围环境影响较小。</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2、地表水</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项目运行期间，生活污水</w:t>
      </w:r>
      <w:r>
        <w:rPr>
          <w:rFonts w:hint="eastAsia" w:asciiTheme="minorEastAsia" w:hAnsiTheme="minorEastAsia" w:eastAsiaTheme="minorEastAsia" w:cstheme="minorEastAsia"/>
          <w:sz w:val="24"/>
          <w:szCs w:val="24"/>
          <w:lang w:eastAsia="zh-CN"/>
        </w:rPr>
        <w:t>经化粪池处理后入城镇污水管网由诸城市舜河污水处理厂集中处理</w:t>
      </w:r>
      <w:r>
        <w:rPr>
          <w:rFonts w:hint="eastAsia" w:asciiTheme="minorEastAsia" w:hAnsiTheme="minorEastAsia" w:eastAsiaTheme="minorEastAsia" w:cstheme="minorEastAsia"/>
          <w:color w:val="000000"/>
          <w:sz w:val="24"/>
          <w:szCs w:val="24"/>
          <w:lang w:eastAsia="zh-CN"/>
        </w:rPr>
        <w:t>进一步处理后</w:t>
      </w:r>
      <w:r>
        <w:rPr>
          <w:rFonts w:hint="eastAsia" w:asciiTheme="minorEastAsia" w:hAnsiTheme="minorEastAsia" w:eastAsiaTheme="minorEastAsia" w:cstheme="minorEastAsia"/>
          <w:color w:val="000000"/>
          <w:sz w:val="24"/>
          <w:szCs w:val="24"/>
          <w:lang w:eastAsia="zh-CN"/>
        </w:rPr>
        <w:t>最终排放水对潍河水质影响不大。</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3、地下水</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本项目所有</w:t>
      </w:r>
      <w:r>
        <w:rPr>
          <w:rFonts w:hint="eastAsia" w:asciiTheme="minorEastAsia" w:hAnsiTheme="minorEastAsia" w:eastAsiaTheme="minorEastAsia" w:cstheme="minorEastAsia"/>
          <w:sz w:val="24"/>
          <w:szCs w:val="24"/>
          <w:lang w:eastAsia="zh-CN"/>
        </w:rPr>
        <w:t>主要固体废物为居民和商业配套产生的生活垃圾。生活垃圾每天定时由环卫部门统一收集处理，</w:t>
      </w:r>
      <w:r>
        <w:rPr>
          <w:rFonts w:hint="eastAsia" w:asciiTheme="minorEastAsia" w:hAnsiTheme="minorEastAsia" w:eastAsiaTheme="minorEastAsia" w:cstheme="minorEastAsia"/>
          <w:color w:val="000000"/>
          <w:sz w:val="24"/>
          <w:szCs w:val="24"/>
          <w:lang w:eastAsia="zh-CN"/>
        </w:rPr>
        <w:t>可基本解决固废污染当地地下水问题，项目已经落实排污管线等场所的防渗等措施，对地下水水质影响不大。</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4、声环境</w:t>
      </w:r>
    </w:p>
    <w:p>
      <w:pPr>
        <w:spacing w:line="360" w:lineRule="auto"/>
        <w:ind w:firstLine="480" w:firstLineChars="200"/>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本项目厂界噪声满足</w:t>
      </w:r>
      <w:r>
        <w:rPr>
          <w:rFonts w:hint="eastAsia" w:asciiTheme="minorEastAsia" w:hAnsiTheme="minorEastAsia" w:eastAsiaTheme="minorEastAsia" w:cstheme="minorEastAsia"/>
          <w:sz w:val="24"/>
          <w:szCs w:val="24"/>
          <w:lang w:eastAsia="zh-CN"/>
        </w:rPr>
        <w:t>《社会生活环境噪声排放标准》(GB22337-2008)中的相应标准</w:t>
      </w:r>
      <w:r>
        <w:rPr>
          <w:rFonts w:hint="eastAsia" w:asciiTheme="minorEastAsia" w:hAnsiTheme="minorEastAsia" w:eastAsiaTheme="minorEastAsia" w:cstheme="minorEastAsia"/>
          <w:color w:val="000000"/>
          <w:sz w:val="24"/>
          <w:szCs w:val="24"/>
          <w:lang w:eastAsia="zh-CN"/>
        </w:rPr>
        <w:t>。总体来看，本项目的选址、布局基本合理，采取的噪声控制措施合理有效，本项目的建设、运营对周围环境和敏感目标影响不大。</w:t>
      </w:r>
    </w:p>
    <w:p>
      <w:pPr>
        <w:spacing w:line="360" w:lineRule="auto"/>
        <w:ind w:firstLine="482" w:firstLineChars="2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六、验收结论</w:t>
      </w:r>
    </w:p>
    <w:p>
      <w:pPr>
        <w:pStyle w:val="14"/>
        <w:ind w:firstLine="480"/>
        <w:rPr>
          <w:rFonts w:hint="eastAsia" w:asciiTheme="minorEastAsia" w:hAnsiTheme="minorEastAsia" w:eastAsiaTheme="minorEastAsia" w:cstheme="minorEastAsia"/>
          <w:color w:val="191919"/>
          <w:sz w:val="24"/>
          <w:szCs w:val="24"/>
          <w:shd w:val="clear" w:color="auto" w:fill="FFFFFF"/>
          <w:lang w:eastAsia="zh-CN"/>
        </w:rPr>
      </w:pPr>
      <w:r>
        <w:rPr>
          <w:rFonts w:hint="eastAsia" w:asciiTheme="minorEastAsia" w:hAnsiTheme="minorEastAsia" w:eastAsiaTheme="minorEastAsia" w:cstheme="minorEastAsia"/>
          <w:color w:val="191919"/>
          <w:sz w:val="24"/>
          <w:szCs w:val="24"/>
          <w:shd w:val="clear" w:color="auto" w:fill="FFFFFF"/>
          <w:lang w:eastAsia="zh-CN"/>
        </w:rPr>
        <w:t>根据该工程项目竣工环境保护验收检测报告和现场检查，项目环保手续完备，技术资料齐全，执行了环境影响评价和“三同时”管理制度，基本落实了环评报告书及其批复所规定的各项环境污染防治措施，外排污染物符合达标排放要求，达到竣工环保验收要求。验收组经认真讨论，认为：</w:t>
      </w:r>
      <w:r>
        <w:rPr>
          <w:rFonts w:hint="eastAsia" w:asciiTheme="minorEastAsia" w:hAnsiTheme="minorEastAsia" w:eastAsiaTheme="minorEastAsia" w:cstheme="minorEastAsia"/>
          <w:w w:val="95"/>
          <w:sz w:val="24"/>
          <w:szCs w:val="24"/>
          <w:lang w:eastAsia="zh-CN"/>
        </w:rPr>
        <w:t>山东裕华发展有限公司诸城龙苑尚城建设项目</w:t>
      </w:r>
      <w:r>
        <w:rPr>
          <w:rFonts w:hint="eastAsia" w:asciiTheme="minorEastAsia" w:hAnsiTheme="minorEastAsia" w:eastAsiaTheme="minorEastAsia" w:cstheme="minorEastAsia"/>
          <w:sz w:val="24"/>
          <w:szCs w:val="24"/>
          <w:lang w:eastAsia="zh-CN"/>
        </w:rPr>
        <w:t>（一期）</w:t>
      </w:r>
      <w:r>
        <w:rPr>
          <w:rFonts w:hint="eastAsia" w:asciiTheme="minorEastAsia" w:hAnsiTheme="minorEastAsia" w:eastAsiaTheme="minorEastAsia" w:cstheme="minorEastAsia"/>
          <w:color w:val="191919"/>
          <w:sz w:val="24"/>
          <w:szCs w:val="24"/>
          <w:shd w:val="clear" w:color="auto" w:fill="FFFFFF"/>
          <w:lang w:eastAsia="zh-CN"/>
        </w:rPr>
        <w:t>在环境保护方面符合竣工验收条件，项目通过竣工环境保护验收，可正式投入运行。验收意见、验收报告等相关信息按照《建设项目竣工环境保护验收暂行办法》要求的程序和期限进行公示和备案。</w:t>
      </w:r>
    </w:p>
    <w:p>
      <w:pPr>
        <w:pStyle w:val="14"/>
        <w:ind w:firstLine="439" w:firstLineChars="182"/>
        <w:rPr>
          <w:rFonts w:hint="eastAsia" w:asciiTheme="minorEastAsia" w:hAnsiTheme="minorEastAsia" w:eastAsiaTheme="minorEastAsia" w:cstheme="minorEastAsia"/>
          <w:b/>
          <w:bCs/>
          <w:color w:val="191919"/>
          <w:sz w:val="24"/>
          <w:szCs w:val="24"/>
          <w:shd w:val="clear" w:color="auto" w:fill="FFFFFF"/>
          <w:lang w:eastAsia="zh-CN"/>
        </w:rPr>
      </w:pPr>
      <w:r>
        <w:rPr>
          <w:rFonts w:hint="eastAsia" w:asciiTheme="minorEastAsia" w:hAnsiTheme="minorEastAsia" w:eastAsiaTheme="minorEastAsia" w:cstheme="minorEastAsia"/>
          <w:b/>
          <w:bCs/>
          <w:color w:val="191919"/>
          <w:sz w:val="24"/>
          <w:szCs w:val="24"/>
          <w:shd w:val="clear" w:color="auto" w:fill="FFFFFF"/>
          <w:lang w:eastAsia="zh-CN"/>
        </w:rPr>
        <w:t>七、建议即要求</w:t>
      </w:r>
    </w:p>
    <w:p>
      <w:pPr>
        <w:pStyle w:val="14"/>
        <w:ind w:firstLine="480"/>
        <w:rPr>
          <w:rFonts w:hint="eastAsia" w:asciiTheme="minorEastAsia" w:hAnsiTheme="minorEastAsia" w:eastAsiaTheme="minorEastAsia" w:cstheme="minorEastAsia"/>
          <w:bCs/>
          <w:color w:val="191919"/>
          <w:sz w:val="24"/>
          <w:szCs w:val="24"/>
          <w:shd w:val="clear" w:color="auto" w:fill="FFFFFF"/>
          <w:lang w:eastAsia="zh-CN"/>
        </w:rPr>
      </w:pPr>
      <w:r>
        <w:rPr>
          <w:rFonts w:hint="eastAsia" w:asciiTheme="minorEastAsia" w:hAnsiTheme="minorEastAsia" w:eastAsiaTheme="minorEastAsia" w:cstheme="minorEastAsia"/>
          <w:bCs/>
          <w:color w:val="191919"/>
          <w:sz w:val="24"/>
          <w:szCs w:val="24"/>
          <w:shd w:val="clear" w:color="auto" w:fill="FFFFFF"/>
          <w:lang w:eastAsia="zh-CN"/>
        </w:rPr>
        <w:t>二期工程建设完成后，进行项目总体验收，中水回用等设施发挥节水减排效能。</w:t>
      </w:r>
    </w:p>
    <w:p>
      <w:pPr>
        <w:spacing w:line="360" w:lineRule="auto"/>
        <w:ind w:firstLine="480" w:firstLineChars="200"/>
        <w:rPr>
          <w:rFonts w:hint="eastAsia" w:asciiTheme="minorEastAsia" w:hAnsiTheme="minorEastAsia" w:eastAsiaTheme="minorEastAsia" w:cstheme="minorEastAsia"/>
          <w:sz w:val="24"/>
          <w:szCs w:val="24"/>
          <w:lang w:eastAsia="zh-CN"/>
        </w:rPr>
      </w:pPr>
    </w:p>
    <w:p>
      <w:pPr>
        <w:pStyle w:val="7"/>
        <w:spacing w:line="360" w:lineRule="auto"/>
        <w:rPr>
          <w:rFonts w:hint="eastAsia" w:asciiTheme="minorEastAsia" w:hAnsiTheme="minorEastAsia" w:eastAsiaTheme="minorEastAsia" w:cstheme="minorEastAsia"/>
          <w:bCs/>
          <w:sz w:val="24"/>
          <w:szCs w:val="24"/>
          <w:lang w:eastAsia="zh-CN"/>
        </w:rPr>
      </w:pPr>
    </w:p>
    <w:p>
      <w:pPr>
        <w:pStyle w:val="2"/>
        <w:spacing w:line="360" w:lineRule="auto"/>
        <w:ind w:left="440" w:right="220"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验收工作组</w:t>
      </w:r>
    </w:p>
    <w:p>
      <w:pPr>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2018年4月29日</w:t>
      </w:r>
    </w:p>
    <w:p>
      <w:pPr>
        <w:pStyle w:val="2"/>
        <w:spacing w:line="360" w:lineRule="auto"/>
        <w:ind w:left="440" w:firstLine="480" w:firstLineChars="200"/>
        <w:rPr>
          <w:rFonts w:hint="eastAsia" w:asciiTheme="minorEastAsia" w:hAnsiTheme="minorEastAsia" w:eastAsiaTheme="minorEastAsia" w:cstheme="minorEastAsia"/>
          <w:sz w:val="24"/>
          <w:szCs w:val="24"/>
          <w:lang w:eastAsia="zh-CN"/>
        </w:rPr>
      </w:pPr>
    </w:p>
    <w:p>
      <w:pPr>
        <w:rPr>
          <w:rFonts w:hint="eastAsia" w:asciiTheme="minorEastAsia" w:hAnsiTheme="minorEastAsia" w:eastAsiaTheme="minorEastAsia" w:cstheme="minorEastAsia"/>
          <w:sz w:val="24"/>
          <w:szCs w:val="24"/>
          <w:lang w:eastAsia="zh-CN"/>
        </w:rPr>
      </w:pPr>
    </w:p>
    <w:p>
      <w:pPr>
        <w:pStyle w:val="2"/>
        <w:ind w:left="440"/>
        <w:rPr>
          <w:rFonts w:hint="eastAsia" w:asciiTheme="minorEastAsia" w:hAnsiTheme="minorEastAsia" w:eastAsiaTheme="minorEastAsia" w:cstheme="minorEastAsia"/>
          <w:sz w:val="24"/>
          <w:szCs w:val="24"/>
          <w:lang w:eastAsia="zh-CN"/>
        </w:rPr>
      </w:pPr>
    </w:p>
    <w:p>
      <w:pPr>
        <w:rPr>
          <w:rFonts w:hint="eastAsia" w:asciiTheme="minorEastAsia" w:hAnsiTheme="minorEastAsia" w:eastAsiaTheme="minorEastAsia" w:cstheme="minorEastAsia"/>
          <w:sz w:val="24"/>
          <w:szCs w:val="24"/>
          <w:lang w:eastAsia="zh-CN"/>
        </w:rPr>
      </w:pPr>
    </w:p>
    <w:p>
      <w:pPr>
        <w:pStyle w:val="2"/>
        <w:ind w:left="440"/>
      </w:pPr>
    </w:p>
    <w:p>
      <w:pPr>
        <w:spacing w:line="360" w:lineRule="auto"/>
        <w:ind w:firstLine="439" w:firstLineChars="183"/>
        <w:rPr>
          <w:rFonts w:asciiTheme="minorEastAsia" w:hAnsiTheme="minorEastAsia" w:eastAsiaTheme="minorEastAsia" w:cstheme="minorEastAsia"/>
          <w:sz w:val="24"/>
          <w:szCs w:val="24"/>
          <w:lang w:eastAsia="zh-CN"/>
        </w:rPr>
      </w:pPr>
    </w:p>
    <w:p>
      <w:pPr>
        <w:pStyle w:val="8"/>
        <w:spacing w:line="360" w:lineRule="auto"/>
        <w:ind w:firstLine="480" w:firstLineChars="200"/>
        <w:rPr>
          <w:sz w:val="24"/>
          <w:szCs w:val="24"/>
          <w:lang w:eastAsia="zh-CN"/>
        </w:rPr>
      </w:pPr>
    </w:p>
    <w:p>
      <w:pPr>
        <w:pStyle w:val="8"/>
        <w:spacing w:line="360" w:lineRule="auto"/>
        <w:jc w:val="center"/>
        <w:rPr>
          <w:b/>
          <w:w w:val="95"/>
          <w:sz w:val="30"/>
          <w:szCs w:val="30"/>
          <w:lang w:eastAsia="zh-CN"/>
        </w:rPr>
      </w:pPr>
    </w:p>
    <w:p>
      <w:pPr>
        <w:pStyle w:val="8"/>
        <w:spacing w:line="360" w:lineRule="auto"/>
        <w:rPr>
          <w:b/>
          <w:w w:val="95"/>
          <w:sz w:val="30"/>
          <w:szCs w:val="30"/>
          <w:lang w:eastAsia="zh-CN"/>
        </w:rPr>
      </w:pPr>
    </w:p>
    <w:p>
      <w:pPr>
        <w:rPr>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sz w:val="24"/>
        <w:szCs w:val="24"/>
        <w:lang w:eastAsia="zh-CN"/>
      </w:rPr>
    </w:pPr>
    <w:r>
      <w:rPr>
        <w:rFonts w:hint="eastAsia"/>
        <w:sz w:val="24"/>
        <w:szCs w:val="24"/>
        <w:lang w:eastAsia="zh-CN"/>
      </w:rPr>
      <w:t>评审人员：</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1B7ED"/>
    <w:multiLevelType w:val="singleLevel"/>
    <w:tmpl w:val="8801B7ED"/>
    <w:lvl w:ilvl="0" w:tentative="0">
      <w:start w:val="4"/>
      <w:numFmt w:val="decimal"/>
      <w:lvlText w:val="%1."/>
      <w:lvlJc w:val="left"/>
      <w:pPr>
        <w:tabs>
          <w:tab w:val="left" w:pos="312"/>
        </w:tabs>
      </w:pPr>
    </w:lvl>
  </w:abstractNum>
  <w:abstractNum w:abstractNumId="1">
    <w:nsid w:val="59E5B8FF"/>
    <w:multiLevelType w:val="multilevel"/>
    <w:tmpl w:val="59E5B8FF"/>
    <w:lvl w:ilvl="0" w:tentative="0">
      <w:start w:val="1"/>
      <w:numFmt w:val="decimal"/>
      <w:lvlText w:val="%1."/>
      <w:lvlJc w:val="left"/>
      <w:pPr>
        <w:ind w:left="432" w:hanging="432"/>
      </w:pPr>
      <w:rPr>
        <w:rFonts w:hint="default"/>
      </w:rPr>
    </w:lvl>
    <w:lvl w:ilvl="1" w:tentative="0">
      <w:start w:val="1"/>
      <w:numFmt w:val="decimal"/>
      <w:pStyle w:val="5"/>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2716" w:hanging="1440"/>
      </w:pPr>
      <w:rPr>
        <w:rFonts w:hint="default"/>
      </w:rPr>
    </w:lvl>
    <w:lvl w:ilvl="8" w:tentative="0">
      <w:start w:val="1"/>
      <w:numFmt w:val="decimal"/>
      <w:lvlText w:val="%1.%2.%3.%4.%5.%6.%7.%8.%9."/>
      <w:lvlJc w:val="left"/>
      <w:pPr>
        <w:ind w:left="1583" w:hanging="1583"/>
      </w:pPr>
      <w:rPr>
        <w:rFonts w:hint="default"/>
      </w:rPr>
    </w:lvl>
  </w:abstractNum>
  <w:abstractNum w:abstractNumId="2">
    <w:nsid w:val="5AB1C29B"/>
    <w:multiLevelType w:val="singleLevel"/>
    <w:tmpl w:val="5AB1C29B"/>
    <w:lvl w:ilvl="0" w:tentative="0">
      <w:start w:val="3"/>
      <w:numFmt w:val="chineseCounting"/>
      <w:suff w:val="nothing"/>
      <w:lvlText w:val="（%1）"/>
      <w:lvlJc w:val="left"/>
    </w:lvl>
  </w:abstractNum>
  <w:abstractNum w:abstractNumId="3">
    <w:nsid w:val="5AB1C4A8"/>
    <w:multiLevelType w:val="singleLevel"/>
    <w:tmpl w:val="5AB1C4A8"/>
    <w:lvl w:ilvl="0" w:tentative="0">
      <w:start w:val="2"/>
      <w:numFmt w:val="chineseCounting"/>
      <w:suff w:val="nothing"/>
      <w:lvlText w:val="%1、"/>
      <w:lvlJc w:val="left"/>
    </w:lvl>
  </w:abstractNum>
  <w:abstractNum w:abstractNumId="4">
    <w:nsid w:val="5AB1CD25"/>
    <w:multiLevelType w:val="singleLevel"/>
    <w:tmpl w:val="5AB1CD25"/>
    <w:lvl w:ilvl="0" w:tentative="0">
      <w:start w:val="5"/>
      <w:numFmt w:val="chineseCounting"/>
      <w:suff w:val="nothing"/>
      <w:lvlText w:val="%1、"/>
      <w:lvlJc w:val="left"/>
    </w:lvl>
  </w:abstractNum>
  <w:abstractNum w:abstractNumId="5">
    <w:nsid w:val="63FD3CC7"/>
    <w:multiLevelType w:val="multilevel"/>
    <w:tmpl w:val="63FD3CC7"/>
    <w:lvl w:ilvl="0" w:tentative="0">
      <w:start w:val="1"/>
      <w:numFmt w:val="decimal"/>
      <w:suff w:val="space"/>
      <w:lvlText w:val="%1"/>
      <w:lvlJc w:val="left"/>
      <w:pPr>
        <w:ind w:left="432" w:hanging="432"/>
      </w:pPr>
      <w:rPr>
        <w:b/>
        <w:bCs w:val="0"/>
        <w:i w:val="0"/>
        <w:iCs w:val="0"/>
        <w:caps w:val="0"/>
        <w:smallCaps w:val="0"/>
        <w:strike w:val="0"/>
        <w:dstrike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decimal"/>
      <w:suff w:val="space"/>
      <w:lvlText w:val="%1.%2"/>
      <w:lvlJc w:val="left"/>
      <w:pPr>
        <w:ind w:left="576" w:hanging="576"/>
      </w:pPr>
      <w:rPr>
        <w:rFonts w:hint="eastAsia"/>
      </w:rPr>
    </w:lvl>
    <w:lvl w:ilvl="2" w:tentative="0">
      <w:start w:val="1"/>
      <w:numFmt w:val="decimal"/>
      <w:suff w:val="space"/>
      <w:lvlText w:val="%1.%2.%3"/>
      <w:lvlJc w:val="left"/>
      <w:pPr>
        <w:ind w:left="720" w:hanging="720"/>
      </w:pPr>
      <w:rPr>
        <w:rFonts w:hint="eastAsia"/>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BA"/>
    <w:rsid w:val="000012CD"/>
    <w:rsid w:val="00060657"/>
    <w:rsid w:val="000D6995"/>
    <w:rsid w:val="000E1D80"/>
    <w:rsid w:val="00462D24"/>
    <w:rsid w:val="0048303B"/>
    <w:rsid w:val="004D543A"/>
    <w:rsid w:val="00503B55"/>
    <w:rsid w:val="00560E5F"/>
    <w:rsid w:val="00665557"/>
    <w:rsid w:val="006B3953"/>
    <w:rsid w:val="006C64DA"/>
    <w:rsid w:val="007402A3"/>
    <w:rsid w:val="007D57B9"/>
    <w:rsid w:val="008D3A60"/>
    <w:rsid w:val="008F2CFC"/>
    <w:rsid w:val="009325C7"/>
    <w:rsid w:val="00950DB0"/>
    <w:rsid w:val="00974F1A"/>
    <w:rsid w:val="00983805"/>
    <w:rsid w:val="00A246E9"/>
    <w:rsid w:val="00A57D39"/>
    <w:rsid w:val="00A7775E"/>
    <w:rsid w:val="00BF2F23"/>
    <w:rsid w:val="00C62BBA"/>
    <w:rsid w:val="00D2507B"/>
    <w:rsid w:val="00E95BA7"/>
    <w:rsid w:val="00F4159D"/>
    <w:rsid w:val="00FD3FE4"/>
    <w:rsid w:val="23461587"/>
    <w:rsid w:val="314368D4"/>
    <w:rsid w:val="4C0B543E"/>
    <w:rsid w:val="58360D25"/>
    <w:rsid w:val="5C6C2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en-US" w:bidi="ar-SA"/>
    </w:rPr>
  </w:style>
  <w:style w:type="paragraph" w:styleId="5">
    <w:name w:val="heading 2"/>
    <w:basedOn w:val="1"/>
    <w:next w:val="1"/>
    <w:unhideWhenUsed/>
    <w:qFormat/>
    <w:uiPriority w:val="0"/>
    <w:pPr>
      <w:numPr>
        <w:ilvl w:val="1"/>
        <w:numId w:val="1"/>
      </w:numPr>
      <w:spacing w:line="360" w:lineRule="auto"/>
      <w:outlineLvl w:val="1"/>
    </w:pPr>
    <w:rPr>
      <w:rFonts w:ascii="仿宋" w:hAnsi="仿宋" w:cs="仿宋"/>
      <w:b/>
      <w:bCs/>
      <w:sz w:val="24"/>
      <w:szCs w:val="28"/>
    </w:rPr>
  </w:style>
  <w:style w:type="paragraph" w:styleId="6">
    <w:name w:val="heading 4"/>
    <w:basedOn w:val="1"/>
    <w:next w:val="1"/>
    <w:unhideWhenUsed/>
    <w:qFormat/>
    <w:uiPriority w:val="0"/>
    <w:pPr>
      <w:keepNext/>
      <w:keepLines/>
      <w:numPr>
        <w:ilvl w:val="3"/>
        <w:numId w:val="2"/>
      </w:numPr>
      <w:spacing w:line="360" w:lineRule="auto"/>
      <w:ind w:left="0" w:firstLine="0"/>
      <w:outlineLvl w:val="3"/>
    </w:pPr>
    <w:rPr>
      <w:b/>
      <w:bCs/>
      <w:szCs w:val="28"/>
    </w:rPr>
  </w:style>
  <w:style w:type="character" w:default="1" w:styleId="11">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next w:val="4"/>
    <w:qFormat/>
    <w:uiPriority w:val="0"/>
    <w:pPr>
      <w:spacing w:after="120"/>
      <w:ind w:left="200" w:leftChars="200"/>
    </w:pPr>
  </w:style>
  <w:style w:type="paragraph" w:customStyle="1" w:styleId="4">
    <w:name w:val="样式 正文文本缩进 + 行距: 1.5 倍行距"/>
    <w:basedOn w:val="3"/>
    <w:qFormat/>
    <w:uiPriority w:val="0"/>
    <w:pPr>
      <w:spacing w:line="360" w:lineRule="auto"/>
      <w:ind w:left="90" w:leftChars="32" w:firstLine="560" w:firstLineChars="200"/>
    </w:pPr>
    <w:rPr>
      <w:sz w:val="24"/>
    </w:rPr>
  </w:style>
  <w:style w:type="paragraph" w:styleId="7">
    <w:name w:val="Body Text First Indent"/>
    <w:basedOn w:val="1"/>
    <w:qFormat/>
    <w:uiPriority w:val="0"/>
    <w:pPr>
      <w:adjustRightInd w:val="0"/>
      <w:snapToGrid w:val="0"/>
      <w:spacing w:line="500" w:lineRule="exact"/>
      <w:ind w:firstLine="480" w:firstLineChars="200"/>
    </w:pPr>
    <w:rPr>
      <w:sz w:val="24"/>
      <w:szCs w:val="18"/>
    </w:rPr>
  </w:style>
  <w:style w:type="paragraph" w:styleId="8">
    <w:name w:val="Body Text"/>
    <w:basedOn w:val="1"/>
    <w:qFormat/>
    <w:uiPriority w:val="0"/>
    <w:rPr>
      <w:sz w:val="21"/>
      <w:szCs w:val="21"/>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一般文字"/>
    <w:basedOn w:val="8"/>
    <w:qFormat/>
    <w:uiPriority w:val="0"/>
    <w:pPr>
      <w:topLinePunct/>
      <w:spacing w:line="360" w:lineRule="auto"/>
      <w:ind w:firstLine="200" w:firstLineChars="200"/>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385</Words>
  <Characters>2197</Characters>
  <Lines>18</Lines>
  <Paragraphs>5</Paragraphs>
  <TotalTime>37</TotalTime>
  <ScaleCrop>false</ScaleCrop>
  <LinksUpToDate>false</LinksUpToDate>
  <CharactersWithSpaces>2577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2018-04-29T08:46:18Z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