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
        <w:jc w:val="center"/>
        <w:rPr>
          <w:rFonts w:asciiTheme="majorEastAsia" w:hAnsiTheme="majorEastAsia" w:eastAsiaTheme="majorEastAsia" w:cstheme="majorEastAsia"/>
          <w:sz w:val="36"/>
          <w:szCs w:val="21"/>
        </w:rPr>
      </w:pPr>
    </w:p>
    <w:p>
      <w:pPr>
        <w:pStyle w:val="5"/>
        <w:jc w:val="center"/>
        <w:rPr>
          <w:rFonts w:asciiTheme="majorEastAsia" w:hAnsiTheme="majorEastAsia" w:eastAsiaTheme="majorEastAsia" w:cstheme="majorEastAsia"/>
          <w:sz w:val="36"/>
          <w:szCs w:val="21"/>
        </w:rPr>
      </w:pPr>
    </w:p>
    <w:p>
      <w:pPr>
        <w:pStyle w:val="5"/>
        <w:jc w:val="center"/>
        <w:rPr>
          <w:rFonts w:asciiTheme="majorEastAsia" w:hAnsiTheme="majorEastAsia" w:eastAsiaTheme="majorEastAsia" w:cstheme="majorEastAsia"/>
          <w:sz w:val="44"/>
        </w:rPr>
      </w:pPr>
      <w:r>
        <w:rPr>
          <w:rFonts w:hint="eastAsia" w:asciiTheme="majorEastAsia" w:hAnsiTheme="majorEastAsia" w:eastAsiaTheme="majorEastAsia" w:cstheme="majorEastAsia"/>
          <w:sz w:val="44"/>
        </w:rPr>
        <w:t>潍坊万汇置业有限公司</w:t>
      </w:r>
    </w:p>
    <w:p>
      <w:pPr>
        <w:pStyle w:val="5"/>
        <w:jc w:val="center"/>
        <w:rPr>
          <w:rFonts w:asciiTheme="majorEastAsia" w:hAnsiTheme="majorEastAsia" w:eastAsiaTheme="majorEastAsia" w:cstheme="majorEastAsia"/>
          <w:sz w:val="44"/>
        </w:rPr>
      </w:pPr>
      <w:r>
        <w:rPr>
          <w:rFonts w:hint="eastAsia" w:asciiTheme="majorEastAsia" w:hAnsiTheme="majorEastAsia" w:eastAsiaTheme="majorEastAsia" w:cstheme="majorEastAsia"/>
          <w:sz w:val="44"/>
        </w:rPr>
        <w:t>万汇·滨河花园小区项目</w:t>
      </w:r>
    </w:p>
    <w:p>
      <w:pPr>
        <w:pStyle w:val="5"/>
        <w:jc w:val="center"/>
        <w:rPr>
          <w:rFonts w:asciiTheme="majorEastAsia" w:hAnsiTheme="majorEastAsia" w:eastAsiaTheme="majorEastAsia" w:cstheme="majorEastAsia"/>
          <w:sz w:val="44"/>
        </w:rPr>
      </w:pPr>
      <w:r>
        <w:rPr>
          <w:rFonts w:hint="eastAsia" w:asciiTheme="majorEastAsia" w:hAnsiTheme="majorEastAsia" w:eastAsiaTheme="majorEastAsia" w:cstheme="majorEastAsia"/>
          <w:sz w:val="44"/>
        </w:rPr>
        <w:t>竣工环境保护验收监测报告</w:t>
      </w:r>
    </w:p>
    <w:p>
      <w:pPr>
        <w:pStyle w:val="10"/>
        <w:ind w:firstLine="842"/>
        <w:jc w:val="center"/>
        <w:rPr>
          <w:rFonts w:ascii="宋体" w:hAnsi="宋体" w:cs="宋体"/>
          <w:b/>
          <w:bCs/>
          <w:w w:val="95"/>
          <w:sz w:val="44"/>
          <w:szCs w:val="44"/>
        </w:rPr>
      </w:pPr>
    </w:p>
    <w:p>
      <w:pPr>
        <w:pStyle w:val="10"/>
        <w:ind w:firstLine="689"/>
        <w:jc w:val="center"/>
        <w:rPr>
          <w:rFonts w:ascii="宋体" w:hAnsi="宋体" w:cs="宋体"/>
          <w:b/>
          <w:bCs/>
          <w:w w:val="95"/>
          <w:sz w:val="36"/>
          <w:szCs w:val="36"/>
        </w:rPr>
      </w:pPr>
    </w:p>
    <w:p>
      <w:pPr>
        <w:pStyle w:val="10"/>
        <w:ind w:firstLine="689"/>
        <w:jc w:val="center"/>
        <w:rPr>
          <w:rFonts w:ascii="宋体" w:hAnsi="宋体" w:cs="宋体"/>
          <w:b/>
          <w:bCs/>
          <w:w w:val="95"/>
          <w:sz w:val="36"/>
          <w:szCs w:val="36"/>
        </w:rPr>
      </w:pPr>
    </w:p>
    <w:p>
      <w:pPr>
        <w:pStyle w:val="10"/>
        <w:ind w:firstLine="689"/>
        <w:jc w:val="center"/>
        <w:rPr>
          <w:rFonts w:ascii="宋体" w:hAnsi="宋体" w:cs="宋体"/>
          <w:b/>
          <w:bCs/>
          <w:w w:val="95"/>
          <w:sz w:val="36"/>
          <w:szCs w:val="36"/>
        </w:rPr>
      </w:pPr>
    </w:p>
    <w:p>
      <w:pPr>
        <w:pStyle w:val="10"/>
        <w:ind w:firstLine="689"/>
        <w:jc w:val="center"/>
        <w:rPr>
          <w:rFonts w:ascii="宋体" w:hAnsi="宋体" w:cs="宋体"/>
          <w:b/>
          <w:bCs/>
          <w:w w:val="95"/>
          <w:sz w:val="36"/>
          <w:szCs w:val="36"/>
        </w:rPr>
      </w:pPr>
    </w:p>
    <w:p>
      <w:pPr>
        <w:pStyle w:val="10"/>
        <w:ind w:firstLine="689"/>
        <w:jc w:val="center"/>
        <w:rPr>
          <w:rFonts w:ascii="宋体" w:hAnsi="宋体" w:cs="宋体"/>
          <w:b/>
          <w:bCs/>
          <w:w w:val="95"/>
          <w:sz w:val="36"/>
          <w:szCs w:val="36"/>
        </w:rPr>
      </w:pPr>
    </w:p>
    <w:p>
      <w:pPr>
        <w:pStyle w:val="10"/>
        <w:ind w:firstLine="689"/>
        <w:jc w:val="center"/>
        <w:rPr>
          <w:rFonts w:ascii="宋体" w:hAnsi="宋体" w:cs="宋体"/>
          <w:b/>
          <w:bCs/>
          <w:w w:val="95"/>
          <w:sz w:val="36"/>
          <w:szCs w:val="36"/>
        </w:rPr>
      </w:pPr>
    </w:p>
    <w:p>
      <w:pPr>
        <w:pStyle w:val="10"/>
        <w:ind w:firstLine="689"/>
        <w:jc w:val="center"/>
        <w:rPr>
          <w:rFonts w:ascii="宋体" w:hAnsi="宋体" w:cs="宋体"/>
          <w:b/>
          <w:bCs/>
          <w:w w:val="95"/>
          <w:sz w:val="36"/>
          <w:szCs w:val="36"/>
        </w:rPr>
      </w:pPr>
    </w:p>
    <w:p>
      <w:pPr>
        <w:pStyle w:val="10"/>
        <w:ind w:firstLine="689"/>
        <w:jc w:val="center"/>
        <w:rPr>
          <w:rFonts w:ascii="宋体" w:hAnsi="宋体" w:cs="宋体"/>
          <w:b/>
          <w:bCs/>
          <w:w w:val="95"/>
          <w:sz w:val="36"/>
          <w:szCs w:val="36"/>
        </w:rPr>
      </w:pPr>
    </w:p>
    <w:p>
      <w:pPr>
        <w:pStyle w:val="10"/>
        <w:ind w:firstLine="613"/>
        <w:jc w:val="center"/>
        <w:rPr>
          <w:rFonts w:ascii="宋体" w:hAnsi="宋体" w:cs="宋体"/>
          <w:b/>
          <w:bCs/>
          <w:w w:val="95"/>
          <w:sz w:val="32"/>
          <w:szCs w:val="32"/>
        </w:rPr>
      </w:pPr>
    </w:p>
    <w:p>
      <w:pPr>
        <w:adjustRightInd w:val="0"/>
        <w:snapToGrid w:val="0"/>
        <w:ind w:firstLine="643"/>
        <w:jc w:val="center"/>
        <w:rPr>
          <w:rFonts w:asciiTheme="minorEastAsia" w:hAnsiTheme="minorEastAsia" w:eastAsiaTheme="minorEastAsia" w:cstheme="minorEastAsia"/>
          <w:b/>
          <w:bCs/>
          <w:sz w:val="32"/>
          <w:szCs w:val="32"/>
          <w:u w:val="single"/>
        </w:rPr>
      </w:pPr>
      <w:r>
        <w:rPr>
          <w:rFonts w:hint="eastAsia" w:asciiTheme="minorEastAsia" w:hAnsiTheme="minorEastAsia" w:eastAsiaTheme="minorEastAsia" w:cstheme="minorEastAsia"/>
          <w:b/>
          <w:bCs/>
          <w:sz w:val="32"/>
          <w:szCs w:val="32"/>
        </w:rPr>
        <w:t>建设单位：</w:t>
      </w:r>
      <w:r>
        <w:rPr>
          <w:rFonts w:hint="eastAsia" w:asciiTheme="minorEastAsia" w:hAnsiTheme="minorEastAsia" w:eastAsiaTheme="minorEastAsia" w:cstheme="minorEastAsia"/>
          <w:b/>
          <w:bCs/>
          <w:sz w:val="32"/>
          <w:szCs w:val="32"/>
          <w:u w:val="single"/>
        </w:rPr>
        <w:t>潍坊万汇置业有限公司</w:t>
      </w:r>
    </w:p>
    <w:p>
      <w:pPr>
        <w:adjustRightInd w:val="0"/>
        <w:snapToGrid w:val="0"/>
        <w:ind w:firstLine="643"/>
        <w:jc w:val="center"/>
        <w:rPr>
          <w:rFonts w:asciiTheme="minorEastAsia" w:hAnsiTheme="minorEastAsia" w:eastAsiaTheme="minorEastAsia" w:cstheme="minorEastAsia"/>
          <w:b/>
          <w:bCs/>
          <w:sz w:val="32"/>
          <w:szCs w:val="32"/>
          <w:u w:val="single"/>
        </w:rPr>
      </w:pPr>
      <w:r>
        <w:rPr>
          <w:rFonts w:hint="eastAsia" w:asciiTheme="minorEastAsia" w:hAnsiTheme="minorEastAsia" w:eastAsiaTheme="minorEastAsia" w:cstheme="minorEastAsia"/>
          <w:b/>
          <w:bCs/>
          <w:sz w:val="32"/>
          <w:szCs w:val="32"/>
        </w:rPr>
        <w:t>编制单位：</w:t>
      </w:r>
      <w:r>
        <w:rPr>
          <w:rFonts w:hint="eastAsia" w:asciiTheme="minorEastAsia" w:hAnsiTheme="minorEastAsia" w:eastAsiaTheme="minorEastAsia" w:cstheme="minorEastAsia"/>
          <w:b/>
          <w:bCs/>
          <w:sz w:val="32"/>
          <w:szCs w:val="32"/>
          <w:u w:val="single"/>
        </w:rPr>
        <w:t>潍坊万汇置业有限公司</w:t>
      </w:r>
    </w:p>
    <w:p>
      <w:pPr>
        <w:pStyle w:val="10"/>
        <w:spacing w:before="7"/>
        <w:ind w:firstLine="0" w:firstLineChars="0"/>
        <w:jc w:val="both"/>
        <w:rPr>
          <w:rFonts w:asciiTheme="minorEastAsia" w:hAnsiTheme="minorEastAsia" w:eastAsiaTheme="minorEastAsia" w:cstheme="minorEastAsia"/>
          <w:sz w:val="32"/>
          <w:szCs w:val="32"/>
        </w:rPr>
      </w:pPr>
    </w:p>
    <w:p>
      <w:pPr>
        <w:adjustRightInd w:val="0"/>
        <w:snapToGrid w:val="0"/>
        <w:ind w:firstLine="643"/>
        <w:jc w:val="center"/>
        <w:rPr>
          <w:rFonts w:asciiTheme="minorEastAsia" w:hAnsiTheme="minorEastAsia" w:eastAsiaTheme="minorEastAsia" w:cstheme="minorEastAsia"/>
          <w:b/>
          <w:bCs/>
          <w:sz w:val="32"/>
          <w:szCs w:val="32"/>
        </w:rPr>
        <w:sectPr>
          <w:footerReference r:id="rId6" w:type="first"/>
          <w:headerReference r:id="rId3" w:type="default"/>
          <w:footerReference r:id="rId4" w:type="default"/>
          <w:footerReference r:id="rId5" w:type="even"/>
          <w:pgSz w:w="11906" w:h="16838"/>
          <w:pgMar w:top="1440" w:right="1588" w:bottom="1440" w:left="1588" w:header="851" w:footer="992" w:gutter="0"/>
          <w:pgNumType w:start="1"/>
          <w:cols w:space="720" w:num="1"/>
          <w:titlePg/>
          <w:docGrid w:linePitch="312" w:charSpace="0"/>
        </w:sectPr>
      </w:pPr>
      <w:r>
        <w:rPr>
          <w:rFonts w:hint="eastAsia" w:asciiTheme="minorEastAsia" w:hAnsiTheme="minorEastAsia" w:eastAsiaTheme="minorEastAsia" w:cstheme="minorEastAsia"/>
          <w:b/>
          <w:bCs/>
          <w:sz w:val="32"/>
          <w:szCs w:val="32"/>
          <w:lang w:eastAsia="zh-CN"/>
        </w:rPr>
        <w:t>二</w:t>
      </w:r>
      <w:r>
        <w:rPr>
          <w:rFonts w:hint="eastAsia" w:asciiTheme="minorEastAsia" w:hAnsiTheme="minorEastAsia" w:eastAsiaTheme="minorEastAsia" w:cstheme="minorEastAsia"/>
          <w:b/>
          <w:bCs/>
          <w:sz w:val="32"/>
          <w:szCs w:val="32"/>
          <w:lang w:val="en-US" w:eastAsia="zh-CN"/>
        </w:rPr>
        <w:t>O一八</w:t>
      </w:r>
      <w:r>
        <w:rPr>
          <w:rFonts w:hint="eastAsia" w:asciiTheme="minorEastAsia" w:hAnsiTheme="minorEastAsia" w:eastAsiaTheme="minorEastAsia" w:cstheme="minorEastAsia"/>
          <w:b/>
          <w:bCs/>
          <w:sz w:val="32"/>
          <w:szCs w:val="32"/>
        </w:rPr>
        <w:t>年</w:t>
      </w:r>
      <w:r>
        <w:rPr>
          <w:rFonts w:hint="eastAsia" w:asciiTheme="minorEastAsia" w:hAnsiTheme="minorEastAsia" w:eastAsiaTheme="minorEastAsia" w:cstheme="minorEastAsia"/>
          <w:b/>
          <w:bCs/>
          <w:sz w:val="32"/>
          <w:szCs w:val="32"/>
          <w:lang w:eastAsia="zh-CN"/>
        </w:rPr>
        <w:t>六</w:t>
      </w:r>
      <w:bookmarkStart w:id="220" w:name="_GoBack"/>
      <w:bookmarkEnd w:id="220"/>
      <w:r>
        <w:rPr>
          <w:rFonts w:hint="eastAsia" w:asciiTheme="minorEastAsia" w:hAnsiTheme="minorEastAsia" w:eastAsiaTheme="minorEastAsia" w:cstheme="minorEastAsia"/>
          <w:b/>
          <w:bCs/>
          <w:sz w:val="32"/>
          <w:szCs w:val="32"/>
        </w:rPr>
        <w:t>月</w:t>
      </w:r>
    </w:p>
    <w:p>
      <w:pPr>
        <w:spacing w:line="600" w:lineRule="auto"/>
        <w:ind w:firstLine="560"/>
      </w:pPr>
      <w:r>
        <w:rPr>
          <w:rFonts w:hint="eastAsia"/>
        </w:rPr>
        <w:t>建设单位:潍坊万汇置业有限公司</w:t>
      </w:r>
    </w:p>
    <w:p>
      <w:pPr>
        <w:spacing w:line="600" w:lineRule="auto"/>
        <w:ind w:firstLine="560"/>
      </w:pPr>
      <w:r>
        <w:rPr>
          <w:rFonts w:hint="eastAsia"/>
        </w:rPr>
        <w:t>法人代表:赵洪义</w:t>
      </w:r>
    </w:p>
    <w:p>
      <w:pPr>
        <w:spacing w:line="600" w:lineRule="auto"/>
        <w:ind w:firstLine="560"/>
      </w:pPr>
      <w:r>
        <w:rPr>
          <w:rFonts w:hint="eastAsia"/>
        </w:rPr>
        <w:t>编制单位：潍坊万汇置业有限公司</w:t>
      </w:r>
    </w:p>
    <w:p>
      <w:pPr>
        <w:spacing w:line="600" w:lineRule="auto"/>
        <w:ind w:firstLine="560"/>
      </w:pPr>
      <w:r>
        <w:rPr>
          <w:rFonts w:hint="eastAsia"/>
        </w:rPr>
        <w:t>项目负责人：厉颜彬</w:t>
      </w:r>
    </w:p>
    <w:p>
      <w:pPr>
        <w:spacing w:line="600" w:lineRule="auto"/>
        <w:ind w:firstLine="560"/>
      </w:pPr>
    </w:p>
    <w:p>
      <w:pPr>
        <w:ind w:firstLine="560"/>
      </w:pPr>
    </w:p>
    <w:p>
      <w:pPr>
        <w:pStyle w:val="10"/>
        <w:ind w:firstLine="562"/>
        <w:rPr>
          <w:rFonts w:ascii="仿宋"/>
          <w:b/>
          <w:sz w:val="28"/>
        </w:rPr>
      </w:pPr>
    </w:p>
    <w:p>
      <w:pPr>
        <w:pStyle w:val="10"/>
        <w:spacing w:before="11"/>
        <w:ind w:firstLine="582"/>
        <w:rPr>
          <w:rFonts w:ascii="仿宋"/>
          <w:b/>
          <w:sz w:val="29"/>
        </w:rPr>
      </w:pPr>
    </w:p>
    <w:p>
      <w:pPr>
        <w:pStyle w:val="10"/>
        <w:ind w:firstLine="562"/>
        <w:rPr>
          <w:rFonts w:ascii="仿宋"/>
          <w:b/>
          <w:sz w:val="28"/>
        </w:rPr>
      </w:pPr>
    </w:p>
    <w:p>
      <w:pPr>
        <w:pStyle w:val="10"/>
        <w:ind w:firstLine="562"/>
        <w:rPr>
          <w:rFonts w:ascii="仿宋"/>
          <w:b/>
          <w:sz w:val="28"/>
        </w:rPr>
      </w:pPr>
    </w:p>
    <w:p>
      <w:pPr>
        <w:pStyle w:val="10"/>
        <w:ind w:firstLine="562"/>
        <w:rPr>
          <w:rFonts w:ascii="仿宋"/>
          <w:b/>
          <w:sz w:val="28"/>
        </w:rPr>
      </w:pPr>
    </w:p>
    <w:p>
      <w:pPr>
        <w:pStyle w:val="10"/>
        <w:ind w:firstLine="562"/>
        <w:rPr>
          <w:rFonts w:ascii="仿宋"/>
          <w:b/>
          <w:sz w:val="28"/>
        </w:rPr>
      </w:pPr>
    </w:p>
    <w:p>
      <w:pPr>
        <w:pStyle w:val="10"/>
        <w:ind w:firstLine="562"/>
        <w:rPr>
          <w:rFonts w:ascii="仿宋"/>
          <w:b/>
          <w:sz w:val="28"/>
        </w:rPr>
      </w:pPr>
    </w:p>
    <w:p>
      <w:pPr>
        <w:pStyle w:val="10"/>
        <w:ind w:firstLine="562"/>
        <w:rPr>
          <w:rFonts w:ascii="仿宋"/>
          <w:b/>
          <w:sz w:val="28"/>
        </w:rPr>
      </w:pPr>
    </w:p>
    <w:tbl>
      <w:tblPr>
        <w:tblStyle w:val="19"/>
        <w:tblpPr w:leftFromText="180" w:rightFromText="180" w:vertAnchor="text" w:horzAnchor="page" w:tblpXSpec="center" w:tblpY="65"/>
        <w:tblOverlap w:val="never"/>
        <w:tblW w:w="954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3"/>
        <w:gridCol w:w="3438"/>
        <w:gridCol w:w="1210"/>
        <w:gridCol w:w="3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93" w:type="dxa"/>
            <w:tcBorders>
              <w:top w:val="nil"/>
              <w:left w:val="nil"/>
              <w:bottom w:val="nil"/>
              <w:right w:val="nil"/>
            </w:tcBorders>
          </w:tcPr>
          <w:p>
            <w:pPr>
              <w:adjustRightInd w:val="0"/>
              <w:snapToGrid w:val="0"/>
              <w:ind w:right="-148" w:rightChars="-53" w:firstLine="0" w:firstLineChars="0"/>
              <w:rPr>
                <w:rFonts w:ascii="宋体" w:hAnsi="宋体" w:cs="宋体"/>
                <w:bCs/>
                <w:sz w:val="24"/>
                <w:lang w:val="zh-CN"/>
              </w:rPr>
            </w:pPr>
            <w:r>
              <w:rPr>
                <w:rFonts w:hint="eastAsia" w:ascii="宋体" w:hAnsi="宋体" w:cs="宋体"/>
                <w:bCs/>
                <w:sz w:val="24"/>
                <w:lang w:val="zh-CN"/>
              </w:rPr>
              <w:t>建设单位：</w:t>
            </w:r>
          </w:p>
        </w:tc>
        <w:tc>
          <w:tcPr>
            <w:tcW w:w="3438" w:type="dxa"/>
            <w:tcBorders>
              <w:top w:val="nil"/>
              <w:left w:val="nil"/>
              <w:bottom w:val="nil"/>
              <w:right w:val="single" w:color="auto" w:sz="4" w:space="0"/>
            </w:tcBorders>
          </w:tcPr>
          <w:p>
            <w:pPr>
              <w:adjustRightInd w:val="0"/>
              <w:snapToGrid w:val="0"/>
              <w:ind w:right="-148" w:rightChars="-53" w:firstLine="0" w:firstLineChars="0"/>
              <w:rPr>
                <w:rFonts w:ascii="宋体" w:hAnsi="宋体" w:cs="宋体"/>
                <w:bCs/>
                <w:sz w:val="24"/>
                <w:lang w:val="zh-CN"/>
              </w:rPr>
            </w:pPr>
            <w:r>
              <w:rPr>
                <w:rFonts w:hint="eastAsia" w:ascii="宋体" w:hAnsi="宋体" w:cs="宋体"/>
                <w:bCs/>
                <w:sz w:val="24"/>
              </w:rPr>
              <w:t>潍坊万汇置业有限公司</w:t>
            </w:r>
          </w:p>
        </w:tc>
        <w:tc>
          <w:tcPr>
            <w:tcW w:w="1210" w:type="dxa"/>
            <w:tcBorders>
              <w:top w:val="nil"/>
              <w:left w:val="single" w:color="auto" w:sz="4" w:space="0"/>
              <w:bottom w:val="nil"/>
              <w:right w:val="nil"/>
            </w:tcBorders>
          </w:tcPr>
          <w:p>
            <w:pPr>
              <w:adjustRightInd w:val="0"/>
              <w:snapToGrid w:val="0"/>
              <w:ind w:right="-148" w:rightChars="-53" w:firstLine="0" w:firstLineChars="0"/>
              <w:rPr>
                <w:rFonts w:ascii="宋体" w:hAnsi="宋体" w:cs="宋体"/>
                <w:bCs/>
                <w:sz w:val="24"/>
              </w:rPr>
            </w:pPr>
            <w:r>
              <w:rPr>
                <w:rFonts w:hint="eastAsia" w:ascii="宋体" w:hAnsi="宋体" w:cs="宋体"/>
                <w:bCs/>
                <w:sz w:val="24"/>
              </w:rPr>
              <w:t>编制单位：</w:t>
            </w:r>
          </w:p>
        </w:tc>
        <w:tc>
          <w:tcPr>
            <w:tcW w:w="3600" w:type="dxa"/>
            <w:tcBorders>
              <w:top w:val="nil"/>
              <w:left w:val="nil"/>
              <w:bottom w:val="nil"/>
              <w:right w:val="nil"/>
            </w:tcBorders>
          </w:tcPr>
          <w:p>
            <w:pPr>
              <w:adjustRightInd w:val="0"/>
              <w:snapToGrid w:val="0"/>
              <w:ind w:right="-148" w:rightChars="-53" w:firstLine="0" w:firstLineChars="0"/>
              <w:rPr>
                <w:rFonts w:ascii="宋体" w:hAnsi="宋体" w:cs="宋体"/>
                <w:bCs/>
                <w:sz w:val="24"/>
              </w:rPr>
            </w:pPr>
            <w:r>
              <w:rPr>
                <w:rFonts w:hint="eastAsia" w:ascii="宋体" w:hAnsi="宋体" w:cs="宋体"/>
                <w:bCs/>
                <w:sz w:val="24"/>
              </w:rPr>
              <w:t>潍坊万汇置业有限公司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44" w:hRule="atLeast"/>
          <w:jc w:val="center"/>
        </w:trPr>
        <w:tc>
          <w:tcPr>
            <w:tcW w:w="1293" w:type="dxa"/>
            <w:tcBorders>
              <w:top w:val="nil"/>
              <w:left w:val="nil"/>
              <w:bottom w:val="nil"/>
              <w:right w:val="nil"/>
            </w:tcBorders>
          </w:tcPr>
          <w:p>
            <w:pPr>
              <w:adjustRightInd w:val="0"/>
              <w:snapToGrid w:val="0"/>
              <w:ind w:right="-148" w:rightChars="-53" w:firstLine="0" w:firstLineChars="0"/>
              <w:jc w:val="both"/>
              <w:rPr>
                <w:rFonts w:ascii="宋体" w:hAnsi="宋体" w:cs="宋体"/>
                <w:bCs/>
                <w:sz w:val="24"/>
              </w:rPr>
            </w:pPr>
            <w:r>
              <w:rPr>
                <w:rFonts w:hint="eastAsia" w:ascii="宋体" w:hAnsi="宋体" w:cs="宋体"/>
                <w:bCs/>
                <w:sz w:val="24"/>
              </w:rPr>
              <w:t>电话：</w:t>
            </w:r>
          </w:p>
        </w:tc>
        <w:tc>
          <w:tcPr>
            <w:tcW w:w="3438" w:type="dxa"/>
            <w:tcBorders>
              <w:top w:val="nil"/>
              <w:left w:val="nil"/>
              <w:bottom w:val="nil"/>
              <w:right w:val="single" w:color="auto" w:sz="4" w:space="0"/>
            </w:tcBorders>
          </w:tcPr>
          <w:p>
            <w:pPr>
              <w:adjustRightInd w:val="0"/>
              <w:snapToGrid w:val="0"/>
              <w:ind w:right="-148" w:rightChars="-53" w:firstLine="0" w:firstLineChars="0"/>
              <w:rPr>
                <w:rFonts w:ascii="宋体" w:hAnsi="宋体" w:cs="宋体"/>
                <w:bCs/>
                <w:sz w:val="24"/>
              </w:rPr>
            </w:pPr>
            <w:r>
              <w:rPr>
                <w:rFonts w:hint="eastAsia" w:ascii="宋体" w:hAnsi="宋体" w:cs="宋体"/>
                <w:bCs/>
                <w:sz w:val="24"/>
              </w:rPr>
              <w:t>13964752177</w:t>
            </w:r>
          </w:p>
        </w:tc>
        <w:tc>
          <w:tcPr>
            <w:tcW w:w="1210" w:type="dxa"/>
            <w:tcBorders>
              <w:top w:val="nil"/>
              <w:left w:val="single" w:color="auto" w:sz="4" w:space="0"/>
              <w:bottom w:val="nil"/>
              <w:right w:val="nil"/>
            </w:tcBorders>
          </w:tcPr>
          <w:p>
            <w:pPr>
              <w:adjustRightInd w:val="0"/>
              <w:snapToGrid w:val="0"/>
              <w:ind w:right="-148" w:rightChars="-53" w:firstLine="0" w:firstLineChars="0"/>
              <w:jc w:val="both"/>
              <w:rPr>
                <w:rFonts w:ascii="宋体" w:hAnsi="宋体" w:cs="宋体"/>
                <w:bCs/>
                <w:sz w:val="24"/>
              </w:rPr>
            </w:pPr>
            <w:r>
              <w:rPr>
                <w:rFonts w:hint="eastAsia" w:ascii="宋体" w:hAnsi="宋体" w:cs="宋体"/>
                <w:bCs/>
                <w:sz w:val="24"/>
              </w:rPr>
              <w:t>电话：</w:t>
            </w:r>
          </w:p>
        </w:tc>
        <w:tc>
          <w:tcPr>
            <w:tcW w:w="3600" w:type="dxa"/>
            <w:tcBorders>
              <w:top w:val="nil"/>
              <w:left w:val="nil"/>
              <w:bottom w:val="nil"/>
              <w:right w:val="nil"/>
            </w:tcBorders>
          </w:tcPr>
          <w:p>
            <w:pPr>
              <w:adjustRightInd w:val="0"/>
              <w:snapToGrid w:val="0"/>
              <w:ind w:right="-148" w:rightChars="-53" w:firstLine="0" w:firstLineChars="0"/>
              <w:rPr>
                <w:rFonts w:ascii="宋体" w:hAnsi="宋体" w:cs="宋体"/>
                <w:bCs/>
                <w:sz w:val="24"/>
              </w:rPr>
            </w:pPr>
            <w:r>
              <w:rPr>
                <w:rFonts w:hint="eastAsia" w:ascii="宋体" w:hAnsi="宋体" w:cs="宋体"/>
                <w:bCs/>
                <w:sz w:val="24"/>
              </w:rPr>
              <w:t>13964752177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93" w:type="dxa"/>
            <w:tcBorders>
              <w:top w:val="nil"/>
              <w:left w:val="nil"/>
              <w:bottom w:val="nil"/>
              <w:right w:val="nil"/>
            </w:tcBorders>
          </w:tcPr>
          <w:p>
            <w:pPr>
              <w:adjustRightInd w:val="0"/>
              <w:snapToGrid w:val="0"/>
              <w:ind w:right="-148" w:rightChars="-53" w:firstLine="0" w:firstLineChars="0"/>
              <w:jc w:val="both"/>
              <w:rPr>
                <w:rFonts w:ascii="宋体" w:hAnsi="宋体" w:cs="宋体"/>
                <w:bCs/>
                <w:sz w:val="24"/>
              </w:rPr>
            </w:pPr>
            <w:r>
              <w:rPr>
                <w:rFonts w:hint="eastAsia" w:ascii="宋体" w:hAnsi="宋体" w:cs="宋体"/>
                <w:bCs/>
                <w:sz w:val="24"/>
              </w:rPr>
              <w:t>传真：</w:t>
            </w:r>
          </w:p>
        </w:tc>
        <w:tc>
          <w:tcPr>
            <w:tcW w:w="3438" w:type="dxa"/>
            <w:tcBorders>
              <w:top w:val="nil"/>
              <w:left w:val="nil"/>
              <w:bottom w:val="nil"/>
              <w:right w:val="single" w:color="auto" w:sz="4" w:space="0"/>
            </w:tcBorders>
          </w:tcPr>
          <w:p>
            <w:pPr>
              <w:adjustRightInd w:val="0"/>
              <w:snapToGrid w:val="0"/>
              <w:ind w:right="-148" w:rightChars="-53" w:firstLine="480"/>
              <w:rPr>
                <w:rFonts w:ascii="宋体" w:hAnsi="宋体" w:cs="宋体"/>
                <w:bCs/>
                <w:sz w:val="24"/>
              </w:rPr>
            </w:pPr>
            <w:r>
              <w:rPr>
                <w:rFonts w:hint="eastAsia" w:ascii="宋体" w:hAnsi="宋体" w:cs="宋体"/>
                <w:bCs/>
                <w:sz w:val="24"/>
              </w:rPr>
              <w:t xml:space="preserve"> /</w:t>
            </w:r>
          </w:p>
        </w:tc>
        <w:tc>
          <w:tcPr>
            <w:tcW w:w="1210" w:type="dxa"/>
            <w:tcBorders>
              <w:top w:val="nil"/>
              <w:left w:val="single" w:color="auto" w:sz="4" w:space="0"/>
              <w:bottom w:val="nil"/>
              <w:right w:val="nil"/>
            </w:tcBorders>
          </w:tcPr>
          <w:p>
            <w:pPr>
              <w:adjustRightInd w:val="0"/>
              <w:snapToGrid w:val="0"/>
              <w:ind w:right="-148" w:rightChars="-53" w:firstLine="0" w:firstLineChars="0"/>
              <w:jc w:val="both"/>
              <w:rPr>
                <w:rFonts w:ascii="宋体" w:hAnsi="宋体" w:cs="宋体"/>
                <w:bCs/>
                <w:sz w:val="24"/>
              </w:rPr>
            </w:pPr>
            <w:r>
              <w:rPr>
                <w:rFonts w:hint="eastAsia" w:ascii="宋体" w:hAnsi="宋体" w:cs="宋体"/>
                <w:bCs/>
                <w:sz w:val="24"/>
              </w:rPr>
              <w:t>传真：</w:t>
            </w:r>
          </w:p>
        </w:tc>
        <w:tc>
          <w:tcPr>
            <w:tcW w:w="3600" w:type="dxa"/>
            <w:tcBorders>
              <w:top w:val="nil"/>
              <w:left w:val="nil"/>
              <w:bottom w:val="nil"/>
              <w:right w:val="nil"/>
            </w:tcBorders>
          </w:tcPr>
          <w:p>
            <w:pPr>
              <w:adjustRightInd w:val="0"/>
              <w:snapToGrid w:val="0"/>
              <w:ind w:right="-148" w:rightChars="-53" w:firstLine="480"/>
              <w:rPr>
                <w:rFonts w:ascii="宋体" w:hAnsi="宋体" w:cs="宋体"/>
                <w:bCs/>
                <w:sz w:val="24"/>
              </w:rPr>
            </w:pPr>
            <w:r>
              <w:rPr>
                <w:rFonts w:hint="eastAsia" w:ascii="宋体" w:hAnsi="宋体" w:cs="宋体"/>
                <w:bCs/>
                <w:sz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93" w:type="dxa"/>
            <w:tcBorders>
              <w:top w:val="nil"/>
              <w:left w:val="nil"/>
              <w:bottom w:val="nil"/>
              <w:right w:val="nil"/>
            </w:tcBorders>
          </w:tcPr>
          <w:p>
            <w:pPr>
              <w:adjustRightInd w:val="0"/>
              <w:snapToGrid w:val="0"/>
              <w:ind w:right="-148" w:rightChars="-53" w:firstLine="0" w:firstLineChars="0"/>
              <w:jc w:val="both"/>
              <w:rPr>
                <w:rFonts w:ascii="宋体" w:hAnsi="宋体" w:cs="宋体"/>
                <w:bCs/>
                <w:sz w:val="24"/>
              </w:rPr>
            </w:pPr>
            <w:r>
              <w:rPr>
                <w:rFonts w:hint="eastAsia" w:ascii="宋体" w:hAnsi="宋体" w:cs="宋体"/>
                <w:bCs/>
                <w:sz w:val="24"/>
              </w:rPr>
              <w:t>邮编：</w:t>
            </w:r>
          </w:p>
        </w:tc>
        <w:tc>
          <w:tcPr>
            <w:tcW w:w="3438" w:type="dxa"/>
            <w:tcBorders>
              <w:top w:val="nil"/>
              <w:left w:val="nil"/>
              <w:bottom w:val="nil"/>
              <w:right w:val="single" w:color="auto" w:sz="4" w:space="0"/>
            </w:tcBorders>
          </w:tcPr>
          <w:p>
            <w:pPr>
              <w:adjustRightInd w:val="0"/>
              <w:snapToGrid w:val="0"/>
              <w:ind w:right="-148" w:rightChars="-53" w:firstLine="0" w:firstLineChars="0"/>
              <w:rPr>
                <w:rFonts w:ascii="宋体" w:hAnsi="宋体" w:cs="宋体"/>
                <w:bCs/>
                <w:sz w:val="24"/>
              </w:rPr>
            </w:pPr>
            <w:r>
              <w:rPr>
                <w:rFonts w:hint="eastAsia" w:ascii="宋体" w:hAnsi="宋体" w:cs="宋体"/>
                <w:bCs/>
                <w:sz w:val="24"/>
              </w:rPr>
              <w:t>262200</w:t>
            </w:r>
          </w:p>
        </w:tc>
        <w:tc>
          <w:tcPr>
            <w:tcW w:w="1210" w:type="dxa"/>
            <w:tcBorders>
              <w:top w:val="nil"/>
              <w:left w:val="single" w:color="auto" w:sz="4" w:space="0"/>
              <w:bottom w:val="nil"/>
              <w:right w:val="nil"/>
            </w:tcBorders>
          </w:tcPr>
          <w:p>
            <w:pPr>
              <w:adjustRightInd w:val="0"/>
              <w:snapToGrid w:val="0"/>
              <w:ind w:right="-148" w:rightChars="-53" w:firstLine="0" w:firstLineChars="0"/>
              <w:jc w:val="both"/>
              <w:rPr>
                <w:rFonts w:ascii="宋体" w:hAnsi="宋体" w:cs="宋体"/>
                <w:bCs/>
                <w:sz w:val="24"/>
              </w:rPr>
            </w:pPr>
            <w:r>
              <w:rPr>
                <w:rFonts w:hint="eastAsia" w:ascii="宋体" w:hAnsi="宋体" w:cs="宋体"/>
                <w:bCs/>
                <w:sz w:val="24"/>
              </w:rPr>
              <w:t>邮编：</w:t>
            </w:r>
          </w:p>
        </w:tc>
        <w:tc>
          <w:tcPr>
            <w:tcW w:w="3600" w:type="dxa"/>
            <w:tcBorders>
              <w:top w:val="nil"/>
              <w:left w:val="nil"/>
              <w:bottom w:val="nil"/>
              <w:right w:val="nil"/>
            </w:tcBorders>
          </w:tcPr>
          <w:p>
            <w:pPr>
              <w:adjustRightInd w:val="0"/>
              <w:snapToGrid w:val="0"/>
              <w:ind w:right="-148" w:rightChars="-53" w:firstLine="0" w:firstLineChars="0"/>
              <w:rPr>
                <w:rFonts w:ascii="宋体" w:hAnsi="宋体" w:cs="宋体"/>
                <w:bCs/>
                <w:sz w:val="24"/>
              </w:rPr>
            </w:pPr>
            <w:r>
              <w:rPr>
                <w:rFonts w:hint="eastAsia" w:ascii="宋体" w:hAnsi="宋体" w:cs="宋体"/>
                <w:bCs/>
                <w:sz w:val="24"/>
              </w:rPr>
              <w:t>262200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293" w:type="dxa"/>
            <w:tcBorders>
              <w:top w:val="nil"/>
              <w:left w:val="nil"/>
              <w:bottom w:val="nil"/>
              <w:right w:val="nil"/>
            </w:tcBorders>
          </w:tcPr>
          <w:p>
            <w:pPr>
              <w:adjustRightInd w:val="0"/>
              <w:snapToGrid w:val="0"/>
              <w:ind w:right="-148" w:rightChars="-53" w:firstLine="0" w:firstLineChars="0"/>
              <w:jc w:val="both"/>
              <w:rPr>
                <w:rFonts w:ascii="宋体" w:hAnsi="宋体" w:cs="宋体"/>
                <w:bCs/>
                <w:sz w:val="24"/>
              </w:rPr>
            </w:pPr>
            <w:r>
              <w:rPr>
                <w:rFonts w:hint="eastAsia" w:ascii="宋体" w:hAnsi="宋体" w:cs="宋体"/>
                <w:bCs/>
                <w:sz w:val="24"/>
              </w:rPr>
              <w:t>地址：</w:t>
            </w:r>
          </w:p>
        </w:tc>
        <w:tc>
          <w:tcPr>
            <w:tcW w:w="3438" w:type="dxa"/>
            <w:tcBorders>
              <w:top w:val="nil"/>
              <w:left w:val="nil"/>
              <w:bottom w:val="nil"/>
              <w:right w:val="single" w:color="auto" w:sz="4" w:space="0"/>
            </w:tcBorders>
          </w:tcPr>
          <w:p>
            <w:pPr>
              <w:adjustRightInd w:val="0"/>
              <w:snapToGrid w:val="0"/>
              <w:ind w:firstLine="0" w:firstLineChars="0"/>
              <w:jc w:val="both"/>
              <w:rPr>
                <w:rFonts w:ascii="宋体" w:hAnsi="宋体" w:cs="宋体"/>
                <w:bCs/>
                <w:sz w:val="24"/>
              </w:rPr>
            </w:pPr>
            <w:r>
              <w:rPr>
                <w:rFonts w:hint="eastAsia" w:ascii="宋体" w:hAnsi="宋体" w:cs="宋体"/>
                <w:bCs/>
                <w:sz w:val="24"/>
              </w:rPr>
              <w:t>诸城市昌城镇得利斯大道西首北侧咸家河岔村东侧</w:t>
            </w:r>
          </w:p>
        </w:tc>
        <w:tc>
          <w:tcPr>
            <w:tcW w:w="1210" w:type="dxa"/>
            <w:tcBorders>
              <w:top w:val="nil"/>
              <w:left w:val="single" w:color="auto" w:sz="4" w:space="0"/>
              <w:bottom w:val="nil"/>
              <w:right w:val="nil"/>
            </w:tcBorders>
          </w:tcPr>
          <w:p>
            <w:pPr>
              <w:adjustRightInd w:val="0"/>
              <w:snapToGrid w:val="0"/>
              <w:ind w:right="-148" w:rightChars="-53" w:firstLine="0" w:firstLineChars="0"/>
              <w:jc w:val="both"/>
              <w:rPr>
                <w:rFonts w:ascii="宋体" w:hAnsi="宋体" w:cs="宋体"/>
                <w:bCs/>
                <w:sz w:val="24"/>
              </w:rPr>
            </w:pPr>
            <w:r>
              <w:rPr>
                <w:rFonts w:hint="eastAsia" w:ascii="宋体" w:hAnsi="宋体" w:cs="宋体"/>
                <w:bCs/>
                <w:sz w:val="24"/>
              </w:rPr>
              <w:t>地址：</w:t>
            </w:r>
          </w:p>
        </w:tc>
        <w:tc>
          <w:tcPr>
            <w:tcW w:w="3600" w:type="dxa"/>
            <w:tcBorders>
              <w:top w:val="nil"/>
              <w:left w:val="nil"/>
              <w:bottom w:val="nil"/>
              <w:right w:val="nil"/>
            </w:tcBorders>
          </w:tcPr>
          <w:p>
            <w:pPr>
              <w:adjustRightInd w:val="0"/>
              <w:snapToGrid w:val="0"/>
              <w:ind w:right="-148" w:rightChars="-53" w:firstLine="0" w:firstLineChars="0"/>
              <w:rPr>
                <w:rFonts w:ascii="宋体" w:hAnsi="宋体" w:cs="宋体"/>
                <w:bCs/>
                <w:sz w:val="24"/>
              </w:rPr>
            </w:pPr>
            <w:r>
              <w:rPr>
                <w:rFonts w:hint="eastAsia" w:ascii="宋体" w:hAnsi="宋体" w:cs="宋体"/>
                <w:bCs/>
                <w:sz w:val="24"/>
              </w:rPr>
              <w:t>诸城市昌城镇得利斯大道西首北侧咸家河岔村东侧</w:t>
            </w:r>
          </w:p>
        </w:tc>
      </w:tr>
    </w:tbl>
    <w:p>
      <w:pPr>
        <w:ind w:firstLine="560"/>
      </w:pPr>
    </w:p>
    <w:p>
      <w:pPr>
        <w:ind w:firstLine="0" w:firstLineChars="0"/>
      </w:pPr>
    </w:p>
    <w:p>
      <w:pPr>
        <w:spacing w:line="240" w:lineRule="auto"/>
        <w:ind w:firstLine="0" w:firstLineChars="0"/>
        <w:jc w:val="center"/>
        <w:rPr>
          <w:rFonts w:ascii="宋体" w:hAnsi="宋体" w:eastAsiaTheme="minorEastAsia"/>
          <w:kern w:val="0"/>
          <w:sz w:val="21"/>
          <w:szCs w:val="20"/>
        </w:rPr>
        <w:sectPr>
          <w:footerReference r:id="rId7" w:type="default"/>
          <w:pgSz w:w="11906" w:h="16838"/>
          <w:pgMar w:top="1440" w:right="1800" w:bottom="1440" w:left="1800" w:header="851" w:footer="992" w:gutter="0"/>
          <w:pgNumType w:start="1"/>
          <w:cols w:space="425" w:num="1"/>
          <w:docGrid w:type="lines" w:linePitch="312" w:charSpace="0"/>
        </w:sectPr>
      </w:pPr>
      <w:bookmarkStart w:id="0" w:name="_Toc22883_WPSOffice_Type2"/>
    </w:p>
    <w:sdt>
      <w:sdtPr>
        <w:rPr>
          <w:rFonts w:ascii="宋体" w:hAnsi="宋体" w:eastAsiaTheme="minorEastAsia"/>
          <w:kern w:val="0"/>
          <w:sz w:val="22"/>
          <w:szCs w:val="21"/>
        </w:rPr>
        <w:id w:val="-1876999667"/>
        <w:docPartObj>
          <w:docPartGallery w:val="Table of Contents"/>
          <w:docPartUnique/>
        </w:docPartObj>
      </w:sdtPr>
      <w:sdtEndPr>
        <w:rPr>
          <w:rFonts w:asciiTheme="minorHAnsi" w:hAnsiTheme="minorHAnsi" w:eastAsiaTheme="minorEastAsia"/>
          <w:b/>
          <w:bCs/>
          <w:kern w:val="0"/>
          <w:sz w:val="24"/>
          <w:szCs w:val="20"/>
        </w:rPr>
      </w:sdtEndPr>
      <w:sdtContent>
        <w:p>
          <w:pPr>
            <w:spacing w:line="240" w:lineRule="auto"/>
            <w:ind w:firstLine="0" w:firstLineChars="0"/>
            <w:jc w:val="center"/>
            <w:rPr>
              <w:sz w:val="28"/>
              <w:szCs w:val="28"/>
            </w:rPr>
          </w:pPr>
          <w:r>
            <w:rPr>
              <w:rFonts w:ascii="宋体" w:hAnsi="宋体"/>
              <w:sz w:val="28"/>
              <w:szCs w:val="28"/>
            </w:rPr>
            <w:t>目录</w:t>
          </w:r>
        </w:p>
        <w:p>
          <w:pPr>
            <w:pStyle w:val="21"/>
            <w:tabs>
              <w:tab w:val="right" w:leader="dot" w:pos="8306"/>
            </w:tabs>
            <w:rPr>
              <w:sz w:val="24"/>
              <w:szCs w:val="24"/>
            </w:rPr>
          </w:pPr>
          <w:r>
            <w:fldChar w:fldCharType="begin"/>
          </w:r>
          <w:r>
            <w:instrText xml:space="preserve"> HYPERLINK \l "_Toc29204_WPSOffice_Level1" </w:instrText>
          </w:r>
          <w:r>
            <w:fldChar w:fldCharType="separate"/>
          </w:r>
          <w:sdt>
            <w:sdtPr>
              <w:rPr>
                <w:rFonts w:eastAsia="宋体"/>
                <w:b/>
                <w:bCs/>
                <w:kern w:val="2"/>
                <w:sz w:val="24"/>
                <w:szCs w:val="24"/>
              </w:rPr>
              <w:id w:val="147459862"/>
              <w:placeholder>
                <w:docPart w:val="{3631504f-2c9a-4858-9a6b-3098b63f0bb9}"/>
              </w:placeholder>
            </w:sdtPr>
            <w:sdtEndPr>
              <w:rPr>
                <w:rFonts w:eastAsia="宋体"/>
                <w:b/>
                <w:bCs/>
                <w:kern w:val="2"/>
                <w:sz w:val="24"/>
                <w:szCs w:val="24"/>
              </w:rPr>
            </w:sdtEndPr>
            <w:sdtContent>
              <w:r>
                <w:rPr>
                  <w:rFonts w:hint="eastAsia" w:eastAsia="宋体"/>
                  <w:b/>
                  <w:bCs/>
                  <w:sz w:val="24"/>
                  <w:szCs w:val="24"/>
                </w:rPr>
                <w:t>一、</w:t>
              </w:r>
              <w:r>
                <w:rPr>
                  <w:rFonts w:eastAsia="宋体"/>
                  <w:b/>
                  <w:bCs/>
                  <w:sz w:val="24"/>
                  <w:szCs w:val="24"/>
                </w:rPr>
                <w:t>验收项目概况</w:t>
              </w:r>
            </w:sdtContent>
          </w:sdt>
          <w:r>
            <w:rPr>
              <w:b/>
              <w:bCs/>
              <w:sz w:val="24"/>
              <w:szCs w:val="24"/>
            </w:rPr>
            <w:tab/>
          </w:r>
          <w:bookmarkStart w:id="1" w:name="_Toc29204_WPSOffice_Level1Page"/>
          <w:r>
            <w:rPr>
              <w:b/>
              <w:bCs/>
              <w:sz w:val="24"/>
              <w:szCs w:val="24"/>
            </w:rPr>
            <w:t>1</w:t>
          </w:r>
          <w:bookmarkEnd w:id="1"/>
          <w:r>
            <w:rPr>
              <w:b/>
              <w:bCs/>
              <w:sz w:val="24"/>
              <w:szCs w:val="24"/>
            </w:rPr>
            <w:fldChar w:fldCharType="end"/>
          </w:r>
        </w:p>
        <w:p>
          <w:pPr>
            <w:pStyle w:val="21"/>
            <w:tabs>
              <w:tab w:val="right" w:leader="dot" w:pos="8306"/>
            </w:tabs>
            <w:rPr>
              <w:sz w:val="24"/>
              <w:szCs w:val="24"/>
            </w:rPr>
          </w:pPr>
          <w:r>
            <w:fldChar w:fldCharType="begin"/>
          </w:r>
          <w:r>
            <w:instrText xml:space="preserve"> HYPERLINK \l "_Toc22883_WPSOffice_Level1" </w:instrText>
          </w:r>
          <w:r>
            <w:fldChar w:fldCharType="separate"/>
          </w:r>
          <w:sdt>
            <w:sdtPr>
              <w:rPr>
                <w:rFonts w:eastAsia="宋体"/>
                <w:b/>
                <w:bCs/>
                <w:kern w:val="2"/>
                <w:sz w:val="24"/>
                <w:szCs w:val="24"/>
              </w:rPr>
              <w:id w:val="1555277900"/>
              <w:placeholder>
                <w:docPart w:val="{59a85ad3-4b49-4ab8-b044-3ab8e1dfbd4e}"/>
              </w:placeholder>
            </w:sdtPr>
            <w:sdtEndPr>
              <w:rPr>
                <w:rFonts w:eastAsia="宋体"/>
                <w:b/>
                <w:bCs/>
                <w:kern w:val="2"/>
                <w:sz w:val="24"/>
                <w:szCs w:val="24"/>
              </w:rPr>
            </w:sdtEndPr>
            <w:sdtContent>
              <w:r>
                <w:rPr>
                  <w:rFonts w:hint="eastAsia" w:eastAsia="宋体"/>
                  <w:b/>
                  <w:bCs/>
                  <w:sz w:val="24"/>
                  <w:szCs w:val="24"/>
                </w:rPr>
                <w:t>二、</w:t>
              </w:r>
              <w:r>
                <w:rPr>
                  <w:rFonts w:eastAsia="宋体"/>
                  <w:b/>
                  <w:bCs/>
                  <w:sz w:val="24"/>
                  <w:szCs w:val="24"/>
                </w:rPr>
                <w:t>验收依据</w:t>
              </w:r>
            </w:sdtContent>
          </w:sdt>
          <w:r>
            <w:rPr>
              <w:b/>
              <w:bCs/>
              <w:sz w:val="24"/>
              <w:szCs w:val="24"/>
            </w:rPr>
            <w:tab/>
          </w:r>
          <w:bookmarkStart w:id="2" w:name="_Toc22883_WPSOffice_Level1Page"/>
          <w:r>
            <w:rPr>
              <w:b/>
              <w:bCs/>
              <w:sz w:val="24"/>
              <w:szCs w:val="24"/>
            </w:rPr>
            <w:t>2</w:t>
          </w:r>
          <w:bookmarkEnd w:id="2"/>
          <w:r>
            <w:rPr>
              <w:b/>
              <w:bCs/>
              <w:sz w:val="24"/>
              <w:szCs w:val="24"/>
            </w:rPr>
            <w:fldChar w:fldCharType="end"/>
          </w:r>
        </w:p>
        <w:p>
          <w:pPr>
            <w:pStyle w:val="22"/>
            <w:tabs>
              <w:tab w:val="right" w:leader="dot" w:pos="8306"/>
            </w:tabs>
            <w:ind w:left="560"/>
            <w:rPr>
              <w:sz w:val="24"/>
              <w:szCs w:val="24"/>
            </w:rPr>
          </w:pPr>
          <w:r>
            <w:fldChar w:fldCharType="begin"/>
          </w:r>
          <w:r>
            <w:instrText xml:space="preserve"> HYPERLINK \l "_Toc22883_WPSOffice_Level2" </w:instrText>
          </w:r>
          <w:r>
            <w:fldChar w:fldCharType="separate"/>
          </w:r>
          <w:sdt>
            <w:sdtPr>
              <w:rPr>
                <w:rFonts w:eastAsia="宋体"/>
                <w:kern w:val="2"/>
                <w:sz w:val="24"/>
                <w:szCs w:val="24"/>
              </w:rPr>
              <w:id w:val="-1065494284"/>
              <w:placeholder>
                <w:docPart w:val="{8a91c3ee-dfc6-4afe-827c-84c28d93a805}"/>
              </w:placeholder>
            </w:sdtPr>
            <w:sdtEndPr>
              <w:rPr>
                <w:rFonts w:eastAsia="宋体"/>
                <w:kern w:val="2"/>
                <w:sz w:val="24"/>
                <w:szCs w:val="24"/>
              </w:rPr>
            </w:sdtEndPr>
            <w:sdtContent>
              <w:r>
                <w:rPr>
                  <w:rFonts w:ascii="Arial" w:hAnsi="Arial" w:eastAsia="宋体"/>
                  <w:sz w:val="24"/>
                  <w:szCs w:val="24"/>
                </w:rPr>
                <w:t>2.1 法律</w:t>
              </w:r>
            </w:sdtContent>
          </w:sdt>
          <w:r>
            <w:rPr>
              <w:sz w:val="24"/>
              <w:szCs w:val="24"/>
            </w:rPr>
            <w:tab/>
          </w:r>
          <w:bookmarkStart w:id="3" w:name="_Toc22883_WPSOffice_Level2Page"/>
          <w:r>
            <w:rPr>
              <w:sz w:val="24"/>
              <w:szCs w:val="24"/>
            </w:rPr>
            <w:t>2</w:t>
          </w:r>
          <w:bookmarkEnd w:id="3"/>
          <w:r>
            <w:rPr>
              <w:sz w:val="24"/>
              <w:szCs w:val="24"/>
            </w:rPr>
            <w:fldChar w:fldCharType="end"/>
          </w:r>
        </w:p>
        <w:p>
          <w:pPr>
            <w:pStyle w:val="22"/>
            <w:tabs>
              <w:tab w:val="right" w:leader="dot" w:pos="8306"/>
            </w:tabs>
            <w:ind w:left="560"/>
            <w:rPr>
              <w:sz w:val="24"/>
              <w:szCs w:val="24"/>
            </w:rPr>
          </w:pPr>
          <w:r>
            <w:fldChar w:fldCharType="begin"/>
          </w:r>
          <w:r>
            <w:instrText xml:space="preserve"> HYPERLINK \l "_Toc22901_WPSOffice_Level2" </w:instrText>
          </w:r>
          <w:r>
            <w:fldChar w:fldCharType="separate"/>
          </w:r>
          <w:sdt>
            <w:sdtPr>
              <w:rPr>
                <w:rFonts w:eastAsia="宋体"/>
                <w:kern w:val="2"/>
                <w:sz w:val="24"/>
                <w:szCs w:val="24"/>
              </w:rPr>
              <w:id w:val="2072072612"/>
              <w:placeholder>
                <w:docPart w:val="{c6a33b1b-3c62-4447-ad72-118554239b94}"/>
              </w:placeholder>
            </w:sdtPr>
            <w:sdtEndPr>
              <w:rPr>
                <w:rFonts w:eastAsia="宋体"/>
                <w:kern w:val="2"/>
                <w:sz w:val="24"/>
                <w:szCs w:val="24"/>
              </w:rPr>
            </w:sdtEndPr>
            <w:sdtContent>
              <w:r>
                <w:rPr>
                  <w:rFonts w:ascii="Arial" w:hAnsi="Arial" w:eastAsia="宋体"/>
                  <w:sz w:val="24"/>
                  <w:szCs w:val="24"/>
                </w:rPr>
                <w:t>2.2 法规、规章</w:t>
              </w:r>
            </w:sdtContent>
          </w:sdt>
          <w:r>
            <w:rPr>
              <w:sz w:val="24"/>
              <w:szCs w:val="24"/>
            </w:rPr>
            <w:tab/>
          </w:r>
          <w:bookmarkStart w:id="4" w:name="_Toc22901_WPSOffice_Level2Page"/>
          <w:r>
            <w:rPr>
              <w:sz w:val="24"/>
              <w:szCs w:val="24"/>
            </w:rPr>
            <w:t>2</w:t>
          </w:r>
          <w:bookmarkEnd w:id="4"/>
          <w:r>
            <w:rPr>
              <w:sz w:val="24"/>
              <w:szCs w:val="24"/>
            </w:rPr>
            <w:fldChar w:fldCharType="end"/>
          </w:r>
        </w:p>
        <w:p>
          <w:pPr>
            <w:pStyle w:val="22"/>
            <w:tabs>
              <w:tab w:val="right" w:leader="dot" w:pos="8306"/>
            </w:tabs>
            <w:ind w:left="560"/>
            <w:rPr>
              <w:sz w:val="24"/>
              <w:szCs w:val="24"/>
            </w:rPr>
          </w:pPr>
          <w:r>
            <w:fldChar w:fldCharType="begin"/>
          </w:r>
          <w:r>
            <w:instrText xml:space="preserve"> HYPERLINK \l "_Toc18221_WPSOffice_Level2" </w:instrText>
          </w:r>
          <w:r>
            <w:fldChar w:fldCharType="separate"/>
          </w:r>
          <w:sdt>
            <w:sdtPr>
              <w:rPr>
                <w:rFonts w:eastAsia="宋体"/>
                <w:kern w:val="2"/>
                <w:sz w:val="24"/>
                <w:szCs w:val="24"/>
              </w:rPr>
              <w:id w:val="1595214555"/>
              <w:placeholder>
                <w:docPart w:val="{856429de-cda5-487a-8049-bdb08b56adac}"/>
              </w:placeholder>
            </w:sdtPr>
            <w:sdtEndPr>
              <w:rPr>
                <w:rFonts w:eastAsia="宋体"/>
                <w:kern w:val="2"/>
                <w:sz w:val="24"/>
                <w:szCs w:val="24"/>
              </w:rPr>
            </w:sdtEndPr>
            <w:sdtContent>
              <w:r>
                <w:rPr>
                  <w:rFonts w:ascii="Arial" w:hAnsi="Arial" w:eastAsia="宋体"/>
                  <w:sz w:val="24"/>
                  <w:szCs w:val="24"/>
                </w:rPr>
                <w:t>2.3 技术文件依据</w:t>
              </w:r>
            </w:sdtContent>
          </w:sdt>
          <w:r>
            <w:rPr>
              <w:sz w:val="24"/>
              <w:szCs w:val="24"/>
            </w:rPr>
            <w:tab/>
          </w:r>
          <w:bookmarkStart w:id="5" w:name="_Toc18221_WPSOffice_Level2Page"/>
          <w:r>
            <w:rPr>
              <w:sz w:val="24"/>
              <w:szCs w:val="24"/>
            </w:rPr>
            <w:t>4</w:t>
          </w:r>
          <w:bookmarkEnd w:id="5"/>
          <w:r>
            <w:rPr>
              <w:sz w:val="24"/>
              <w:szCs w:val="24"/>
            </w:rPr>
            <w:fldChar w:fldCharType="end"/>
          </w:r>
        </w:p>
        <w:p>
          <w:pPr>
            <w:pStyle w:val="22"/>
            <w:tabs>
              <w:tab w:val="right" w:leader="dot" w:pos="8306"/>
            </w:tabs>
            <w:ind w:left="560"/>
            <w:rPr>
              <w:sz w:val="24"/>
              <w:szCs w:val="24"/>
            </w:rPr>
          </w:pPr>
          <w:r>
            <w:fldChar w:fldCharType="begin"/>
          </w:r>
          <w:r>
            <w:instrText xml:space="preserve"> HYPERLINK \l "_Toc2285_WPSOffice_Level2" </w:instrText>
          </w:r>
          <w:r>
            <w:fldChar w:fldCharType="separate"/>
          </w:r>
          <w:sdt>
            <w:sdtPr>
              <w:rPr>
                <w:rFonts w:eastAsia="宋体"/>
                <w:kern w:val="2"/>
                <w:sz w:val="24"/>
                <w:szCs w:val="24"/>
              </w:rPr>
              <w:id w:val="-1113286551"/>
              <w:placeholder>
                <w:docPart w:val="{48a3fcad-7025-4503-b2d1-cf900eb848d8}"/>
              </w:placeholder>
            </w:sdtPr>
            <w:sdtEndPr>
              <w:rPr>
                <w:rFonts w:eastAsia="宋体"/>
                <w:kern w:val="2"/>
                <w:sz w:val="24"/>
                <w:szCs w:val="24"/>
              </w:rPr>
            </w:sdtEndPr>
            <w:sdtContent>
              <w:r>
                <w:rPr>
                  <w:rFonts w:ascii="Arial" w:hAnsi="Arial" w:eastAsia="宋体"/>
                  <w:sz w:val="24"/>
                  <w:szCs w:val="24"/>
                </w:rPr>
                <w:t>2.4 验收评价标准</w:t>
              </w:r>
            </w:sdtContent>
          </w:sdt>
          <w:r>
            <w:rPr>
              <w:sz w:val="24"/>
              <w:szCs w:val="24"/>
            </w:rPr>
            <w:tab/>
          </w:r>
          <w:bookmarkStart w:id="6" w:name="_Toc2285_WPSOffice_Level2Page"/>
          <w:r>
            <w:rPr>
              <w:sz w:val="24"/>
              <w:szCs w:val="24"/>
            </w:rPr>
            <w:t>4</w:t>
          </w:r>
          <w:bookmarkEnd w:id="6"/>
          <w:r>
            <w:rPr>
              <w:sz w:val="24"/>
              <w:szCs w:val="24"/>
            </w:rPr>
            <w:fldChar w:fldCharType="end"/>
          </w:r>
        </w:p>
        <w:p>
          <w:pPr>
            <w:pStyle w:val="21"/>
            <w:tabs>
              <w:tab w:val="right" w:leader="dot" w:pos="8306"/>
            </w:tabs>
            <w:rPr>
              <w:sz w:val="24"/>
              <w:szCs w:val="24"/>
            </w:rPr>
          </w:pPr>
          <w:r>
            <w:fldChar w:fldCharType="begin"/>
          </w:r>
          <w:r>
            <w:instrText xml:space="preserve"> HYPERLINK \l "_Toc22901_WPSOffice_Level1" </w:instrText>
          </w:r>
          <w:r>
            <w:fldChar w:fldCharType="separate"/>
          </w:r>
          <w:sdt>
            <w:sdtPr>
              <w:rPr>
                <w:rFonts w:eastAsia="宋体"/>
                <w:b/>
                <w:bCs/>
                <w:kern w:val="2"/>
                <w:sz w:val="24"/>
                <w:szCs w:val="24"/>
              </w:rPr>
              <w:id w:val="1231426779"/>
              <w:placeholder>
                <w:docPart w:val="{9e1b58b5-c31b-42ed-864f-c1063bde0e96}"/>
              </w:placeholder>
            </w:sdtPr>
            <w:sdtEndPr>
              <w:rPr>
                <w:rFonts w:eastAsia="宋体"/>
                <w:b/>
                <w:bCs/>
                <w:kern w:val="2"/>
                <w:sz w:val="24"/>
                <w:szCs w:val="24"/>
              </w:rPr>
            </w:sdtEndPr>
            <w:sdtContent>
              <w:r>
                <w:rPr>
                  <w:rFonts w:hint="eastAsia" w:eastAsia="宋体"/>
                  <w:b/>
                  <w:bCs/>
                  <w:sz w:val="24"/>
                  <w:szCs w:val="24"/>
                </w:rPr>
                <w:t>三、</w:t>
              </w:r>
              <w:r>
                <w:rPr>
                  <w:rFonts w:eastAsia="宋体"/>
                  <w:b/>
                  <w:bCs/>
                  <w:sz w:val="24"/>
                  <w:szCs w:val="24"/>
                </w:rPr>
                <w:t>工程建设情况</w:t>
              </w:r>
            </w:sdtContent>
          </w:sdt>
          <w:r>
            <w:rPr>
              <w:b/>
              <w:bCs/>
              <w:sz w:val="24"/>
              <w:szCs w:val="24"/>
            </w:rPr>
            <w:tab/>
          </w:r>
          <w:bookmarkStart w:id="7" w:name="_Toc22901_WPSOffice_Level1Page"/>
          <w:r>
            <w:rPr>
              <w:b/>
              <w:bCs/>
              <w:sz w:val="24"/>
              <w:szCs w:val="24"/>
            </w:rPr>
            <w:t>5</w:t>
          </w:r>
          <w:bookmarkEnd w:id="7"/>
          <w:r>
            <w:rPr>
              <w:b/>
              <w:bCs/>
              <w:sz w:val="24"/>
              <w:szCs w:val="24"/>
            </w:rPr>
            <w:fldChar w:fldCharType="end"/>
          </w:r>
        </w:p>
        <w:p>
          <w:pPr>
            <w:pStyle w:val="22"/>
            <w:tabs>
              <w:tab w:val="right" w:leader="dot" w:pos="8306"/>
            </w:tabs>
            <w:ind w:left="560"/>
            <w:rPr>
              <w:sz w:val="24"/>
              <w:szCs w:val="24"/>
            </w:rPr>
          </w:pPr>
          <w:r>
            <w:fldChar w:fldCharType="begin"/>
          </w:r>
          <w:r>
            <w:instrText xml:space="preserve"> HYPERLINK \l "_Toc25829_WPSOffice_Level2" </w:instrText>
          </w:r>
          <w:r>
            <w:fldChar w:fldCharType="separate"/>
          </w:r>
          <w:sdt>
            <w:sdtPr>
              <w:rPr>
                <w:rFonts w:eastAsia="宋体"/>
                <w:kern w:val="2"/>
                <w:sz w:val="24"/>
                <w:szCs w:val="24"/>
              </w:rPr>
              <w:id w:val="1856145148"/>
              <w:placeholder>
                <w:docPart w:val="{64e1eecb-2484-46ec-8fab-586c399c37bf}"/>
              </w:placeholder>
            </w:sdtPr>
            <w:sdtEndPr>
              <w:rPr>
                <w:rFonts w:eastAsia="宋体"/>
                <w:kern w:val="2"/>
                <w:sz w:val="24"/>
                <w:szCs w:val="24"/>
              </w:rPr>
            </w:sdtEndPr>
            <w:sdtContent>
              <w:r>
                <w:rPr>
                  <w:rFonts w:hint="eastAsia" w:ascii="Arial" w:hAnsi="Arial" w:eastAsia="宋体"/>
                  <w:sz w:val="24"/>
                  <w:szCs w:val="24"/>
                </w:rPr>
                <w:t>3.1 项目地理位置</w:t>
              </w:r>
            </w:sdtContent>
          </w:sdt>
          <w:r>
            <w:rPr>
              <w:sz w:val="24"/>
              <w:szCs w:val="24"/>
            </w:rPr>
            <w:tab/>
          </w:r>
          <w:bookmarkStart w:id="8" w:name="_Toc25829_WPSOffice_Level2Page"/>
          <w:r>
            <w:rPr>
              <w:sz w:val="24"/>
              <w:szCs w:val="24"/>
            </w:rPr>
            <w:t>5</w:t>
          </w:r>
          <w:bookmarkEnd w:id="8"/>
          <w:r>
            <w:rPr>
              <w:sz w:val="24"/>
              <w:szCs w:val="24"/>
            </w:rPr>
            <w:fldChar w:fldCharType="end"/>
          </w:r>
        </w:p>
        <w:p>
          <w:pPr>
            <w:pStyle w:val="22"/>
            <w:tabs>
              <w:tab w:val="right" w:leader="dot" w:pos="8306"/>
            </w:tabs>
            <w:ind w:left="560"/>
            <w:rPr>
              <w:sz w:val="24"/>
              <w:szCs w:val="24"/>
            </w:rPr>
          </w:pPr>
          <w:r>
            <w:fldChar w:fldCharType="begin"/>
          </w:r>
          <w:r>
            <w:instrText xml:space="preserve"> HYPERLINK \l "_Toc26500_WPSOffice_Level2" </w:instrText>
          </w:r>
          <w:r>
            <w:fldChar w:fldCharType="separate"/>
          </w:r>
          <w:sdt>
            <w:sdtPr>
              <w:rPr>
                <w:rFonts w:eastAsia="宋体"/>
                <w:kern w:val="2"/>
                <w:sz w:val="24"/>
                <w:szCs w:val="24"/>
              </w:rPr>
              <w:id w:val="-685363111"/>
              <w:placeholder>
                <w:docPart w:val="{ee6ab5dc-036c-468a-aa15-60494a2d6046}"/>
              </w:placeholder>
            </w:sdtPr>
            <w:sdtEndPr>
              <w:rPr>
                <w:rFonts w:eastAsia="宋体"/>
                <w:kern w:val="2"/>
                <w:sz w:val="24"/>
                <w:szCs w:val="24"/>
              </w:rPr>
            </w:sdtEndPr>
            <w:sdtContent>
              <w:r>
                <w:rPr>
                  <w:rFonts w:hint="eastAsia" w:ascii="Times New Roman" w:hAnsi="Times New Roman" w:eastAsia="宋体" w:cs="Times New Roman"/>
                  <w:sz w:val="24"/>
                  <w:szCs w:val="24"/>
                </w:rPr>
                <w:t>3.2</w:t>
              </w:r>
              <w:r>
                <w:rPr>
                  <w:rFonts w:ascii="Times New Roman" w:hAnsi="Times New Roman" w:eastAsia="宋体" w:cs="Times New Roman"/>
                  <w:sz w:val="24"/>
                  <w:szCs w:val="24"/>
                </w:rPr>
                <w:t>建设内容</w:t>
              </w:r>
            </w:sdtContent>
          </w:sdt>
          <w:r>
            <w:rPr>
              <w:sz w:val="24"/>
              <w:szCs w:val="24"/>
            </w:rPr>
            <w:tab/>
          </w:r>
          <w:bookmarkStart w:id="9" w:name="_Toc26500_WPSOffice_Level2Page"/>
          <w:r>
            <w:rPr>
              <w:sz w:val="24"/>
              <w:szCs w:val="24"/>
            </w:rPr>
            <w:t>7</w:t>
          </w:r>
          <w:bookmarkEnd w:id="9"/>
          <w:r>
            <w:rPr>
              <w:sz w:val="24"/>
              <w:szCs w:val="24"/>
            </w:rPr>
            <w:fldChar w:fldCharType="end"/>
          </w:r>
        </w:p>
        <w:p>
          <w:pPr>
            <w:pStyle w:val="22"/>
            <w:tabs>
              <w:tab w:val="right" w:leader="dot" w:pos="8306"/>
            </w:tabs>
            <w:ind w:left="560"/>
            <w:rPr>
              <w:sz w:val="24"/>
              <w:szCs w:val="24"/>
            </w:rPr>
          </w:pPr>
          <w:r>
            <w:fldChar w:fldCharType="begin"/>
          </w:r>
          <w:r>
            <w:instrText xml:space="preserve"> HYPERLINK \l "_Toc28036_WPSOffice_Level2" </w:instrText>
          </w:r>
          <w:r>
            <w:fldChar w:fldCharType="separate"/>
          </w:r>
          <w:sdt>
            <w:sdtPr>
              <w:rPr>
                <w:rFonts w:eastAsia="宋体"/>
                <w:kern w:val="2"/>
                <w:sz w:val="24"/>
                <w:szCs w:val="24"/>
              </w:rPr>
              <w:id w:val="151419509"/>
              <w:placeholder>
                <w:docPart w:val="{0ee22db3-b389-424b-b013-cc4a104f247c}"/>
              </w:placeholder>
            </w:sdtPr>
            <w:sdtEndPr>
              <w:rPr>
                <w:rFonts w:eastAsia="宋体"/>
                <w:kern w:val="2"/>
                <w:sz w:val="24"/>
                <w:szCs w:val="24"/>
              </w:rPr>
            </w:sdtEndPr>
            <w:sdtContent>
              <w:r>
                <w:rPr>
                  <w:rFonts w:hint="eastAsia" w:ascii="Arial" w:hAnsi="Arial" w:eastAsia="宋体"/>
                  <w:sz w:val="24"/>
                  <w:szCs w:val="24"/>
                </w:rPr>
                <w:t>3.3项目变动情况</w:t>
              </w:r>
            </w:sdtContent>
          </w:sdt>
          <w:r>
            <w:rPr>
              <w:sz w:val="24"/>
              <w:szCs w:val="24"/>
            </w:rPr>
            <w:tab/>
          </w:r>
          <w:bookmarkStart w:id="10" w:name="_Toc28036_WPSOffice_Level2Page"/>
          <w:r>
            <w:rPr>
              <w:sz w:val="24"/>
              <w:szCs w:val="24"/>
            </w:rPr>
            <w:t>8</w:t>
          </w:r>
          <w:bookmarkEnd w:id="10"/>
          <w:r>
            <w:rPr>
              <w:sz w:val="24"/>
              <w:szCs w:val="24"/>
            </w:rPr>
            <w:fldChar w:fldCharType="end"/>
          </w:r>
        </w:p>
        <w:p>
          <w:pPr>
            <w:pStyle w:val="21"/>
            <w:tabs>
              <w:tab w:val="right" w:leader="dot" w:pos="8306"/>
            </w:tabs>
            <w:rPr>
              <w:sz w:val="24"/>
              <w:szCs w:val="24"/>
            </w:rPr>
          </w:pPr>
          <w:r>
            <w:fldChar w:fldCharType="begin"/>
          </w:r>
          <w:r>
            <w:instrText xml:space="preserve"> HYPERLINK \l "_Toc18221_WPSOffice_Level1" </w:instrText>
          </w:r>
          <w:r>
            <w:fldChar w:fldCharType="separate"/>
          </w:r>
          <w:sdt>
            <w:sdtPr>
              <w:rPr>
                <w:rFonts w:eastAsia="宋体"/>
                <w:b/>
                <w:bCs/>
                <w:kern w:val="2"/>
                <w:sz w:val="24"/>
                <w:szCs w:val="24"/>
              </w:rPr>
              <w:id w:val="735596242"/>
              <w:placeholder>
                <w:docPart w:val="{f38dcecf-9aac-4864-ac11-98f4937b062b}"/>
              </w:placeholder>
            </w:sdtPr>
            <w:sdtEndPr>
              <w:rPr>
                <w:rFonts w:eastAsia="宋体"/>
                <w:b/>
                <w:bCs/>
                <w:kern w:val="2"/>
                <w:sz w:val="24"/>
                <w:szCs w:val="24"/>
              </w:rPr>
            </w:sdtEndPr>
            <w:sdtContent>
              <w:r>
                <w:rPr>
                  <w:rFonts w:hint="eastAsia" w:eastAsia="宋体"/>
                  <w:b/>
                  <w:bCs/>
                  <w:sz w:val="24"/>
                  <w:szCs w:val="24"/>
                </w:rPr>
                <w:t>四、环境保护设施</w:t>
              </w:r>
            </w:sdtContent>
          </w:sdt>
          <w:r>
            <w:rPr>
              <w:b/>
              <w:bCs/>
              <w:sz w:val="24"/>
              <w:szCs w:val="24"/>
            </w:rPr>
            <w:tab/>
          </w:r>
          <w:bookmarkStart w:id="11" w:name="_Toc18221_WPSOffice_Level1Page"/>
          <w:r>
            <w:rPr>
              <w:b/>
              <w:bCs/>
              <w:sz w:val="24"/>
              <w:szCs w:val="24"/>
            </w:rPr>
            <w:t>9</w:t>
          </w:r>
          <w:bookmarkEnd w:id="11"/>
          <w:r>
            <w:rPr>
              <w:b/>
              <w:bCs/>
              <w:sz w:val="24"/>
              <w:szCs w:val="24"/>
            </w:rPr>
            <w:fldChar w:fldCharType="end"/>
          </w:r>
        </w:p>
        <w:p>
          <w:pPr>
            <w:pStyle w:val="22"/>
            <w:tabs>
              <w:tab w:val="right" w:leader="dot" w:pos="8306"/>
            </w:tabs>
            <w:ind w:left="560"/>
            <w:rPr>
              <w:sz w:val="24"/>
              <w:szCs w:val="24"/>
            </w:rPr>
          </w:pPr>
          <w:r>
            <w:fldChar w:fldCharType="begin"/>
          </w:r>
          <w:r>
            <w:instrText xml:space="preserve"> HYPERLINK \l "_Toc32151_WPSOffice_Level2" </w:instrText>
          </w:r>
          <w:r>
            <w:fldChar w:fldCharType="separate"/>
          </w:r>
          <w:sdt>
            <w:sdtPr>
              <w:rPr>
                <w:rFonts w:eastAsia="宋体"/>
                <w:kern w:val="2"/>
                <w:sz w:val="24"/>
                <w:szCs w:val="24"/>
              </w:rPr>
              <w:id w:val="481901424"/>
              <w:placeholder>
                <w:docPart w:val="{a0761389-ee90-45b4-9660-d0e1fb47c134}"/>
              </w:placeholder>
            </w:sdtPr>
            <w:sdtEndPr>
              <w:rPr>
                <w:rFonts w:eastAsia="宋体"/>
                <w:kern w:val="2"/>
                <w:sz w:val="24"/>
                <w:szCs w:val="24"/>
              </w:rPr>
            </w:sdtEndPr>
            <w:sdtContent>
              <w:r>
                <w:rPr>
                  <w:rFonts w:hint="eastAsia" w:ascii="Arial" w:hAnsi="Arial" w:eastAsia="宋体"/>
                  <w:sz w:val="24"/>
                  <w:szCs w:val="24"/>
                </w:rPr>
                <w:t>4.1污染物治理/处置设施</w:t>
              </w:r>
            </w:sdtContent>
          </w:sdt>
          <w:r>
            <w:rPr>
              <w:sz w:val="24"/>
              <w:szCs w:val="24"/>
            </w:rPr>
            <w:tab/>
          </w:r>
          <w:bookmarkStart w:id="12" w:name="_Toc32151_WPSOffice_Level2Page"/>
          <w:r>
            <w:rPr>
              <w:sz w:val="24"/>
              <w:szCs w:val="24"/>
            </w:rPr>
            <w:t>9</w:t>
          </w:r>
          <w:bookmarkEnd w:id="12"/>
          <w:r>
            <w:rPr>
              <w:sz w:val="24"/>
              <w:szCs w:val="24"/>
            </w:rPr>
            <w:fldChar w:fldCharType="end"/>
          </w:r>
        </w:p>
        <w:p>
          <w:pPr>
            <w:pStyle w:val="22"/>
            <w:tabs>
              <w:tab w:val="right" w:leader="dot" w:pos="8306"/>
            </w:tabs>
            <w:ind w:left="560"/>
            <w:rPr>
              <w:sz w:val="24"/>
              <w:szCs w:val="24"/>
            </w:rPr>
          </w:pPr>
          <w:r>
            <w:fldChar w:fldCharType="begin"/>
          </w:r>
          <w:r>
            <w:instrText xml:space="preserve"> HYPERLINK \l "_Toc17432_WPSOffice_Level2" </w:instrText>
          </w:r>
          <w:r>
            <w:fldChar w:fldCharType="separate"/>
          </w:r>
          <w:sdt>
            <w:sdtPr>
              <w:rPr>
                <w:rFonts w:eastAsia="宋体"/>
                <w:kern w:val="2"/>
                <w:sz w:val="24"/>
                <w:szCs w:val="24"/>
              </w:rPr>
              <w:id w:val="-1773851775"/>
              <w:placeholder>
                <w:docPart w:val="{9ab0e350-4e14-4989-909d-f1007cd4c510}"/>
              </w:placeholder>
            </w:sdtPr>
            <w:sdtEndPr>
              <w:rPr>
                <w:rFonts w:eastAsia="宋体"/>
                <w:kern w:val="2"/>
                <w:sz w:val="24"/>
                <w:szCs w:val="24"/>
              </w:rPr>
            </w:sdtEndPr>
            <w:sdtContent>
              <w:r>
                <w:rPr>
                  <w:rFonts w:hint="eastAsia" w:ascii="宋体" w:hAnsi="宋体" w:eastAsia="宋体" w:cs="宋体"/>
                  <w:sz w:val="24"/>
                  <w:szCs w:val="24"/>
                </w:rPr>
                <w:t>4.2 环保设施投资及“三同时”落实情况</w:t>
              </w:r>
            </w:sdtContent>
          </w:sdt>
          <w:r>
            <w:rPr>
              <w:sz w:val="24"/>
              <w:szCs w:val="24"/>
            </w:rPr>
            <w:tab/>
          </w:r>
          <w:bookmarkStart w:id="13" w:name="_Toc17432_WPSOffice_Level2Page"/>
          <w:r>
            <w:rPr>
              <w:sz w:val="24"/>
              <w:szCs w:val="24"/>
            </w:rPr>
            <w:t>10</w:t>
          </w:r>
          <w:bookmarkEnd w:id="13"/>
          <w:r>
            <w:rPr>
              <w:sz w:val="24"/>
              <w:szCs w:val="24"/>
            </w:rPr>
            <w:fldChar w:fldCharType="end"/>
          </w:r>
        </w:p>
        <w:p>
          <w:pPr>
            <w:pStyle w:val="21"/>
            <w:tabs>
              <w:tab w:val="right" w:leader="dot" w:pos="8306"/>
            </w:tabs>
            <w:rPr>
              <w:sz w:val="24"/>
              <w:szCs w:val="24"/>
            </w:rPr>
          </w:pPr>
          <w:r>
            <w:fldChar w:fldCharType="begin"/>
          </w:r>
          <w:r>
            <w:instrText xml:space="preserve"> HYPERLINK \l "_Toc2285_WPSOffice_Level1" </w:instrText>
          </w:r>
          <w:r>
            <w:fldChar w:fldCharType="separate"/>
          </w:r>
          <w:sdt>
            <w:sdtPr>
              <w:rPr>
                <w:rFonts w:eastAsia="宋体"/>
                <w:b/>
                <w:bCs/>
                <w:kern w:val="2"/>
                <w:sz w:val="24"/>
                <w:szCs w:val="24"/>
              </w:rPr>
              <w:id w:val="885152420"/>
              <w:placeholder>
                <w:docPart w:val="{1c9f3863-74ee-4294-a190-8f954125a306}"/>
              </w:placeholder>
            </w:sdtPr>
            <w:sdtEndPr>
              <w:rPr>
                <w:rFonts w:eastAsia="宋体"/>
                <w:b/>
                <w:bCs/>
                <w:kern w:val="2"/>
                <w:sz w:val="24"/>
                <w:szCs w:val="24"/>
              </w:rPr>
            </w:sdtEndPr>
            <w:sdtContent>
              <w:r>
                <w:rPr>
                  <w:rFonts w:hint="eastAsia" w:eastAsia="宋体"/>
                  <w:b/>
                  <w:bCs/>
                  <w:sz w:val="24"/>
                  <w:szCs w:val="24"/>
                </w:rPr>
                <w:t>五、建议及审批部门审批决定</w:t>
              </w:r>
            </w:sdtContent>
          </w:sdt>
          <w:r>
            <w:rPr>
              <w:b/>
              <w:bCs/>
              <w:sz w:val="24"/>
              <w:szCs w:val="24"/>
            </w:rPr>
            <w:tab/>
          </w:r>
          <w:bookmarkStart w:id="14" w:name="_Toc2285_WPSOffice_Level1Page"/>
          <w:r>
            <w:rPr>
              <w:b/>
              <w:bCs/>
              <w:sz w:val="24"/>
              <w:szCs w:val="24"/>
            </w:rPr>
            <w:t>11</w:t>
          </w:r>
          <w:bookmarkEnd w:id="14"/>
          <w:r>
            <w:rPr>
              <w:b/>
              <w:bCs/>
              <w:sz w:val="24"/>
              <w:szCs w:val="24"/>
            </w:rPr>
            <w:fldChar w:fldCharType="end"/>
          </w:r>
        </w:p>
        <w:p>
          <w:pPr>
            <w:pStyle w:val="21"/>
            <w:tabs>
              <w:tab w:val="right" w:leader="dot" w:pos="8306"/>
            </w:tabs>
            <w:rPr>
              <w:sz w:val="24"/>
              <w:szCs w:val="24"/>
            </w:rPr>
          </w:pPr>
          <w:r>
            <w:fldChar w:fldCharType="begin"/>
          </w:r>
          <w:r>
            <w:instrText xml:space="preserve"> HYPERLINK \l "_Toc25829_WPSOffice_Level1" </w:instrText>
          </w:r>
          <w:r>
            <w:fldChar w:fldCharType="separate"/>
          </w:r>
          <w:sdt>
            <w:sdtPr>
              <w:rPr>
                <w:rFonts w:eastAsia="宋体"/>
                <w:b/>
                <w:bCs/>
                <w:kern w:val="2"/>
                <w:sz w:val="24"/>
                <w:szCs w:val="24"/>
              </w:rPr>
              <w:id w:val="-1751271901"/>
              <w:placeholder>
                <w:docPart w:val="{a38b3fea-f1d1-45a6-bf94-a9aa78aaa19b}"/>
              </w:placeholder>
            </w:sdtPr>
            <w:sdtEndPr>
              <w:rPr>
                <w:rFonts w:eastAsia="宋体"/>
                <w:b/>
                <w:bCs/>
                <w:kern w:val="2"/>
                <w:sz w:val="24"/>
                <w:szCs w:val="24"/>
              </w:rPr>
            </w:sdtEndPr>
            <w:sdtContent>
              <w:r>
                <w:rPr>
                  <w:rFonts w:hint="eastAsia" w:eastAsia="宋体"/>
                  <w:b/>
                  <w:bCs/>
                  <w:sz w:val="24"/>
                  <w:szCs w:val="24"/>
                </w:rPr>
                <w:t>六、验收执行标准</w:t>
              </w:r>
            </w:sdtContent>
          </w:sdt>
          <w:r>
            <w:rPr>
              <w:b/>
              <w:bCs/>
              <w:sz w:val="24"/>
              <w:szCs w:val="24"/>
            </w:rPr>
            <w:tab/>
          </w:r>
          <w:bookmarkStart w:id="15" w:name="_Toc25829_WPSOffice_Level1Page"/>
          <w:r>
            <w:rPr>
              <w:b/>
              <w:bCs/>
              <w:sz w:val="24"/>
              <w:szCs w:val="24"/>
            </w:rPr>
            <w:t>12</w:t>
          </w:r>
          <w:bookmarkEnd w:id="15"/>
          <w:r>
            <w:rPr>
              <w:b/>
              <w:bCs/>
              <w:sz w:val="24"/>
              <w:szCs w:val="24"/>
            </w:rPr>
            <w:fldChar w:fldCharType="end"/>
          </w:r>
        </w:p>
        <w:p>
          <w:pPr>
            <w:pStyle w:val="22"/>
            <w:tabs>
              <w:tab w:val="right" w:leader="dot" w:pos="8306"/>
            </w:tabs>
            <w:ind w:left="560"/>
            <w:rPr>
              <w:sz w:val="24"/>
              <w:szCs w:val="24"/>
            </w:rPr>
          </w:pPr>
          <w:r>
            <w:fldChar w:fldCharType="begin"/>
          </w:r>
          <w:r>
            <w:instrText xml:space="preserve"> HYPERLINK \l "_Toc22129_WPSOffice_Level2" </w:instrText>
          </w:r>
          <w:r>
            <w:fldChar w:fldCharType="separate"/>
          </w:r>
          <w:sdt>
            <w:sdtPr>
              <w:rPr>
                <w:rFonts w:eastAsia="宋体"/>
                <w:kern w:val="2"/>
                <w:sz w:val="24"/>
                <w:szCs w:val="24"/>
              </w:rPr>
              <w:id w:val="-1005892066"/>
              <w:placeholder>
                <w:docPart w:val="{5b49a087-3676-4a10-a936-7f1187fb5a03}"/>
              </w:placeholder>
            </w:sdtPr>
            <w:sdtEndPr>
              <w:rPr>
                <w:rFonts w:eastAsia="宋体"/>
                <w:kern w:val="2"/>
                <w:sz w:val="24"/>
                <w:szCs w:val="24"/>
              </w:rPr>
            </w:sdtEndPr>
            <w:sdtContent>
              <w:r>
                <w:rPr>
                  <w:rFonts w:hint="eastAsia" w:ascii="Arial" w:hAnsi="Arial" w:eastAsia="宋体"/>
                  <w:sz w:val="24"/>
                  <w:szCs w:val="24"/>
                </w:rPr>
                <w:t>6.1 废水执行标准</w:t>
              </w:r>
            </w:sdtContent>
          </w:sdt>
          <w:r>
            <w:rPr>
              <w:sz w:val="24"/>
              <w:szCs w:val="24"/>
            </w:rPr>
            <w:tab/>
          </w:r>
          <w:bookmarkStart w:id="16" w:name="_Toc22129_WPSOffice_Level2Page"/>
          <w:r>
            <w:rPr>
              <w:sz w:val="24"/>
              <w:szCs w:val="24"/>
            </w:rPr>
            <w:t>12</w:t>
          </w:r>
          <w:bookmarkEnd w:id="16"/>
          <w:r>
            <w:rPr>
              <w:sz w:val="24"/>
              <w:szCs w:val="24"/>
            </w:rPr>
            <w:fldChar w:fldCharType="end"/>
          </w:r>
        </w:p>
        <w:p>
          <w:pPr>
            <w:pStyle w:val="22"/>
            <w:tabs>
              <w:tab w:val="right" w:leader="dot" w:pos="8306"/>
            </w:tabs>
            <w:ind w:left="560"/>
            <w:rPr>
              <w:sz w:val="24"/>
              <w:szCs w:val="24"/>
            </w:rPr>
          </w:pPr>
          <w:r>
            <w:fldChar w:fldCharType="begin"/>
          </w:r>
          <w:r>
            <w:instrText xml:space="preserve"> HYPERLINK \l "_Toc1669_WPSOffice_Level2" </w:instrText>
          </w:r>
          <w:r>
            <w:fldChar w:fldCharType="separate"/>
          </w:r>
          <w:sdt>
            <w:sdtPr>
              <w:rPr>
                <w:rFonts w:eastAsia="宋体"/>
                <w:kern w:val="2"/>
                <w:sz w:val="24"/>
                <w:szCs w:val="24"/>
              </w:rPr>
              <w:id w:val="791025303"/>
              <w:placeholder>
                <w:docPart w:val="{7b62b306-7e46-4612-bcab-accbd2032def}"/>
              </w:placeholder>
            </w:sdtPr>
            <w:sdtEndPr>
              <w:rPr>
                <w:rFonts w:eastAsia="宋体"/>
                <w:kern w:val="2"/>
                <w:sz w:val="24"/>
                <w:szCs w:val="24"/>
              </w:rPr>
            </w:sdtEndPr>
            <w:sdtContent>
              <w:r>
                <w:rPr>
                  <w:rFonts w:hint="eastAsia" w:ascii="Arial" w:hAnsi="Arial" w:eastAsia="宋体"/>
                  <w:sz w:val="24"/>
                  <w:szCs w:val="24"/>
                </w:rPr>
                <w:t>6.2 噪声执行标准</w:t>
              </w:r>
            </w:sdtContent>
          </w:sdt>
          <w:r>
            <w:rPr>
              <w:sz w:val="24"/>
              <w:szCs w:val="24"/>
            </w:rPr>
            <w:tab/>
          </w:r>
          <w:bookmarkStart w:id="17" w:name="_Toc1669_WPSOffice_Level2Page"/>
          <w:r>
            <w:rPr>
              <w:sz w:val="24"/>
              <w:szCs w:val="24"/>
            </w:rPr>
            <w:t>12</w:t>
          </w:r>
          <w:bookmarkEnd w:id="17"/>
          <w:r>
            <w:rPr>
              <w:sz w:val="24"/>
              <w:szCs w:val="24"/>
            </w:rPr>
            <w:fldChar w:fldCharType="end"/>
          </w:r>
        </w:p>
        <w:p>
          <w:pPr>
            <w:pStyle w:val="22"/>
            <w:tabs>
              <w:tab w:val="right" w:leader="dot" w:pos="8306"/>
            </w:tabs>
            <w:ind w:left="560"/>
            <w:rPr>
              <w:sz w:val="24"/>
              <w:szCs w:val="24"/>
            </w:rPr>
          </w:pPr>
          <w:r>
            <w:fldChar w:fldCharType="begin"/>
          </w:r>
          <w:r>
            <w:instrText xml:space="preserve"> HYPERLINK \l "_Toc15994_WPSOffice_Level2" </w:instrText>
          </w:r>
          <w:r>
            <w:fldChar w:fldCharType="separate"/>
          </w:r>
          <w:sdt>
            <w:sdtPr>
              <w:rPr>
                <w:rFonts w:eastAsia="宋体"/>
                <w:kern w:val="2"/>
                <w:sz w:val="24"/>
                <w:szCs w:val="24"/>
              </w:rPr>
              <w:id w:val="-323439115"/>
              <w:placeholder>
                <w:docPart w:val="{806d5cdd-862b-4026-95d8-ab401178e691}"/>
              </w:placeholder>
            </w:sdtPr>
            <w:sdtEndPr>
              <w:rPr>
                <w:rFonts w:eastAsia="宋体"/>
                <w:kern w:val="2"/>
                <w:sz w:val="24"/>
                <w:szCs w:val="24"/>
              </w:rPr>
            </w:sdtEndPr>
            <w:sdtContent>
              <w:r>
                <w:rPr>
                  <w:rFonts w:hint="eastAsia" w:ascii="Arial" w:hAnsi="Arial" w:eastAsia="宋体"/>
                  <w:sz w:val="24"/>
                  <w:szCs w:val="24"/>
                </w:rPr>
                <w:t>6.3 总量控制要求</w:t>
              </w:r>
            </w:sdtContent>
          </w:sdt>
          <w:r>
            <w:rPr>
              <w:sz w:val="24"/>
              <w:szCs w:val="24"/>
            </w:rPr>
            <w:tab/>
          </w:r>
          <w:bookmarkStart w:id="18" w:name="_Toc15994_WPSOffice_Level2Page"/>
          <w:r>
            <w:rPr>
              <w:sz w:val="24"/>
              <w:szCs w:val="24"/>
            </w:rPr>
            <w:t>12</w:t>
          </w:r>
          <w:bookmarkEnd w:id="18"/>
          <w:r>
            <w:rPr>
              <w:sz w:val="24"/>
              <w:szCs w:val="24"/>
            </w:rPr>
            <w:fldChar w:fldCharType="end"/>
          </w:r>
        </w:p>
        <w:p>
          <w:pPr>
            <w:pStyle w:val="21"/>
            <w:tabs>
              <w:tab w:val="right" w:leader="dot" w:pos="8306"/>
            </w:tabs>
            <w:rPr>
              <w:sz w:val="24"/>
              <w:szCs w:val="24"/>
            </w:rPr>
          </w:pPr>
          <w:r>
            <w:fldChar w:fldCharType="begin"/>
          </w:r>
          <w:r>
            <w:instrText xml:space="preserve"> HYPERLINK \l "_Toc26500_WPSOffice_Level1" </w:instrText>
          </w:r>
          <w:r>
            <w:fldChar w:fldCharType="separate"/>
          </w:r>
          <w:sdt>
            <w:sdtPr>
              <w:rPr>
                <w:rFonts w:eastAsia="宋体"/>
                <w:b/>
                <w:bCs/>
                <w:kern w:val="2"/>
                <w:sz w:val="24"/>
                <w:szCs w:val="24"/>
              </w:rPr>
              <w:id w:val="-543132713"/>
              <w:placeholder>
                <w:docPart w:val="{1772c348-18e9-447d-a6da-9294b4a2c049}"/>
              </w:placeholder>
            </w:sdtPr>
            <w:sdtEndPr>
              <w:rPr>
                <w:rFonts w:eastAsia="宋体"/>
                <w:b/>
                <w:bCs/>
                <w:kern w:val="2"/>
                <w:sz w:val="24"/>
                <w:szCs w:val="24"/>
              </w:rPr>
            </w:sdtEndPr>
            <w:sdtContent>
              <w:r>
                <w:rPr>
                  <w:rFonts w:hint="eastAsia" w:eastAsia="宋体"/>
                  <w:b/>
                  <w:bCs/>
                  <w:sz w:val="24"/>
                  <w:szCs w:val="24"/>
                </w:rPr>
                <w:t>七、</w:t>
              </w:r>
              <w:r>
                <w:rPr>
                  <w:rFonts w:eastAsia="宋体"/>
                  <w:b/>
                  <w:bCs/>
                  <w:sz w:val="24"/>
                  <w:szCs w:val="24"/>
                </w:rPr>
                <w:t>验收监测内容</w:t>
              </w:r>
            </w:sdtContent>
          </w:sdt>
          <w:r>
            <w:rPr>
              <w:b/>
              <w:bCs/>
              <w:sz w:val="24"/>
              <w:szCs w:val="24"/>
            </w:rPr>
            <w:tab/>
          </w:r>
          <w:bookmarkStart w:id="19" w:name="_Toc26500_WPSOffice_Level1Page"/>
          <w:r>
            <w:rPr>
              <w:b/>
              <w:bCs/>
              <w:sz w:val="24"/>
              <w:szCs w:val="24"/>
            </w:rPr>
            <w:t>13</w:t>
          </w:r>
          <w:bookmarkEnd w:id="19"/>
          <w:r>
            <w:rPr>
              <w:b/>
              <w:bCs/>
              <w:sz w:val="24"/>
              <w:szCs w:val="24"/>
            </w:rPr>
            <w:fldChar w:fldCharType="end"/>
          </w:r>
        </w:p>
        <w:p>
          <w:pPr>
            <w:pStyle w:val="22"/>
            <w:tabs>
              <w:tab w:val="right" w:leader="dot" w:pos="8306"/>
            </w:tabs>
            <w:ind w:left="560"/>
            <w:rPr>
              <w:sz w:val="24"/>
              <w:szCs w:val="24"/>
            </w:rPr>
          </w:pPr>
          <w:r>
            <w:fldChar w:fldCharType="begin"/>
          </w:r>
          <w:r>
            <w:instrText xml:space="preserve"> HYPERLINK \l "_Toc13946_WPSOffice_Level2" </w:instrText>
          </w:r>
          <w:r>
            <w:fldChar w:fldCharType="separate"/>
          </w:r>
          <w:sdt>
            <w:sdtPr>
              <w:rPr>
                <w:rFonts w:eastAsia="宋体"/>
                <w:kern w:val="2"/>
                <w:sz w:val="24"/>
                <w:szCs w:val="24"/>
              </w:rPr>
              <w:id w:val="1456450116"/>
              <w:placeholder>
                <w:docPart w:val="{2125b564-4302-46e3-8b92-5038c995cca7}"/>
              </w:placeholder>
            </w:sdtPr>
            <w:sdtEndPr>
              <w:rPr>
                <w:rFonts w:eastAsia="宋体"/>
                <w:kern w:val="2"/>
                <w:sz w:val="24"/>
                <w:szCs w:val="24"/>
              </w:rPr>
            </w:sdtEndPr>
            <w:sdtContent>
              <w:r>
                <w:rPr>
                  <w:rFonts w:hint="eastAsia" w:ascii="Arial" w:hAnsi="Arial" w:eastAsia="宋体"/>
                  <w:sz w:val="24"/>
                  <w:szCs w:val="24"/>
                </w:rPr>
                <w:t>7.1</w:t>
              </w:r>
              <w:r>
                <w:rPr>
                  <w:rFonts w:ascii="Arial" w:hAnsi="Arial" w:eastAsia="宋体"/>
                  <w:sz w:val="24"/>
                  <w:szCs w:val="24"/>
                </w:rPr>
                <w:t>环境保护设施调试效果</w:t>
              </w:r>
            </w:sdtContent>
          </w:sdt>
          <w:r>
            <w:rPr>
              <w:sz w:val="24"/>
              <w:szCs w:val="24"/>
            </w:rPr>
            <w:tab/>
          </w:r>
          <w:bookmarkStart w:id="20" w:name="_Toc13946_WPSOffice_Level2Page"/>
          <w:r>
            <w:rPr>
              <w:sz w:val="24"/>
              <w:szCs w:val="24"/>
            </w:rPr>
            <w:t>13</w:t>
          </w:r>
          <w:bookmarkEnd w:id="20"/>
          <w:r>
            <w:rPr>
              <w:sz w:val="24"/>
              <w:szCs w:val="24"/>
            </w:rPr>
            <w:fldChar w:fldCharType="end"/>
          </w:r>
        </w:p>
        <w:p>
          <w:pPr>
            <w:pStyle w:val="22"/>
            <w:tabs>
              <w:tab w:val="right" w:leader="dot" w:pos="8306"/>
            </w:tabs>
            <w:ind w:left="560"/>
            <w:rPr>
              <w:sz w:val="24"/>
              <w:szCs w:val="24"/>
            </w:rPr>
          </w:pPr>
          <w:r>
            <w:fldChar w:fldCharType="begin"/>
          </w:r>
          <w:r>
            <w:instrText xml:space="preserve"> HYPERLINK \l "_Toc7595_WPSOffice_Level2" </w:instrText>
          </w:r>
          <w:r>
            <w:fldChar w:fldCharType="separate"/>
          </w:r>
          <w:sdt>
            <w:sdtPr>
              <w:rPr>
                <w:rFonts w:eastAsia="宋体"/>
                <w:kern w:val="2"/>
                <w:sz w:val="24"/>
                <w:szCs w:val="24"/>
              </w:rPr>
              <w:id w:val="1335259687"/>
              <w:placeholder>
                <w:docPart w:val="{ce955713-c69b-4b26-b514-12e4a0785887}"/>
              </w:placeholder>
            </w:sdtPr>
            <w:sdtEndPr>
              <w:rPr>
                <w:rFonts w:eastAsia="宋体"/>
                <w:kern w:val="2"/>
                <w:sz w:val="24"/>
                <w:szCs w:val="24"/>
              </w:rPr>
            </w:sdtEndPr>
            <w:sdtContent>
              <w:r>
                <w:rPr>
                  <w:rFonts w:hint="eastAsia" w:ascii="Arial" w:hAnsi="Arial" w:eastAsia="宋体"/>
                  <w:sz w:val="24"/>
                  <w:szCs w:val="24"/>
                </w:rPr>
                <w:t>7.2 环境质量监测</w:t>
              </w:r>
            </w:sdtContent>
          </w:sdt>
          <w:r>
            <w:rPr>
              <w:sz w:val="24"/>
              <w:szCs w:val="24"/>
            </w:rPr>
            <w:tab/>
          </w:r>
          <w:bookmarkStart w:id="21" w:name="_Toc7595_WPSOffice_Level2Page"/>
          <w:r>
            <w:rPr>
              <w:sz w:val="24"/>
              <w:szCs w:val="24"/>
            </w:rPr>
            <w:t>13</w:t>
          </w:r>
          <w:bookmarkEnd w:id="21"/>
          <w:r>
            <w:rPr>
              <w:sz w:val="24"/>
              <w:szCs w:val="24"/>
            </w:rPr>
            <w:fldChar w:fldCharType="end"/>
          </w:r>
        </w:p>
        <w:p>
          <w:pPr>
            <w:pStyle w:val="21"/>
            <w:tabs>
              <w:tab w:val="right" w:leader="dot" w:pos="8306"/>
            </w:tabs>
            <w:rPr>
              <w:sz w:val="24"/>
              <w:szCs w:val="24"/>
            </w:rPr>
          </w:pPr>
          <w:r>
            <w:fldChar w:fldCharType="begin"/>
          </w:r>
          <w:r>
            <w:instrText xml:space="preserve"> HYPERLINK \l "_Toc28036_WPSOffice_Level1" </w:instrText>
          </w:r>
          <w:r>
            <w:fldChar w:fldCharType="separate"/>
          </w:r>
          <w:sdt>
            <w:sdtPr>
              <w:rPr>
                <w:rFonts w:eastAsia="宋体"/>
                <w:b/>
                <w:bCs/>
                <w:kern w:val="2"/>
                <w:sz w:val="24"/>
                <w:szCs w:val="24"/>
              </w:rPr>
              <w:id w:val="-1383172829"/>
              <w:placeholder>
                <w:docPart w:val="{cd937939-dd01-490d-aca6-8134d015743e}"/>
              </w:placeholder>
            </w:sdtPr>
            <w:sdtEndPr>
              <w:rPr>
                <w:rFonts w:eastAsia="宋体"/>
                <w:b/>
                <w:bCs/>
                <w:kern w:val="2"/>
                <w:sz w:val="24"/>
                <w:szCs w:val="24"/>
              </w:rPr>
            </w:sdtEndPr>
            <w:sdtContent>
              <w:r>
                <w:rPr>
                  <w:rFonts w:hint="eastAsia" w:eastAsia="宋体"/>
                  <w:b/>
                  <w:bCs/>
                  <w:sz w:val="24"/>
                  <w:szCs w:val="24"/>
                </w:rPr>
                <w:t>八、</w:t>
              </w:r>
              <w:r>
                <w:rPr>
                  <w:rFonts w:eastAsia="宋体"/>
                  <w:b/>
                  <w:bCs/>
                  <w:sz w:val="24"/>
                  <w:szCs w:val="24"/>
                </w:rPr>
                <w:t>质量保证及质量控制</w:t>
              </w:r>
            </w:sdtContent>
          </w:sdt>
          <w:r>
            <w:rPr>
              <w:b/>
              <w:bCs/>
              <w:sz w:val="24"/>
              <w:szCs w:val="24"/>
            </w:rPr>
            <w:tab/>
          </w:r>
          <w:bookmarkStart w:id="22" w:name="_Toc28036_WPSOffice_Level1Page"/>
          <w:r>
            <w:rPr>
              <w:b/>
              <w:bCs/>
              <w:sz w:val="24"/>
              <w:szCs w:val="24"/>
            </w:rPr>
            <w:t>14</w:t>
          </w:r>
          <w:bookmarkEnd w:id="22"/>
          <w:r>
            <w:rPr>
              <w:b/>
              <w:bCs/>
              <w:sz w:val="24"/>
              <w:szCs w:val="24"/>
            </w:rPr>
            <w:fldChar w:fldCharType="end"/>
          </w:r>
        </w:p>
        <w:p>
          <w:pPr>
            <w:pStyle w:val="22"/>
            <w:tabs>
              <w:tab w:val="right" w:leader="dot" w:pos="8306"/>
            </w:tabs>
            <w:ind w:left="560"/>
            <w:rPr>
              <w:sz w:val="24"/>
              <w:szCs w:val="24"/>
            </w:rPr>
          </w:pPr>
          <w:r>
            <w:fldChar w:fldCharType="begin"/>
          </w:r>
          <w:r>
            <w:instrText xml:space="preserve"> HYPERLINK \l "_Toc20816_WPSOffice_Level2" </w:instrText>
          </w:r>
          <w:r>
            <w:fldChar w:fldCharType="separate"/>
          </w:r>
          <w:sdt>
            <w:sdtPr>
              <w:rPr>
                <w:rFonts w:eastAsia="宋体"/>
                <w:kern w:val="2"/>
                <w:sz w:val="24"/>
                <w:szCs w:val="24"/>
              </w:rPr>
              <w:id w:val="185490693"/>
              <w:placeholder>
                <w:docPart w:val="{f105f6f6-6845-4826-a5d9-332b872663af}"/>
              </w:placeholder>
            </w:sdtPr>
            <w:sdtEndPr>
              <w:rPr>
                <w:rFonts w:eastAsia="宋体"/>
                <w:kern w:val="2"/>
                <w:sz w:val="24"/>
                <w:szCs w:val="24"/>
              </w:rPr>
            </w:sdtEndPr>
            <w:sdtContent>
              <w:r>
                <w:rPr>
                  <w:rFonts w:hint="eastAsia" w:ascii="Arial" w:hAnsi="Arial" w:eastAsia="宋体"/>
                  <w:sz w:val="24"/>
                  <w:szCs w:val="24"/>
                </w:rPr>
                <w:t>8.1监测分析方法</w:t>
              </w:r>
            </w:sdtContent>
          </w:sdt>
          <w:r>
            <w:rPr>
              <w:sz w:val="24"/>
              <w:szCs w:val="24"/>
            </w:rPr>
            <w:tab/>
          </w:r>
          <w:bookmarkStart w:id="23" w:name="_Toc20816_WPSOffice_Level2Page"/>
          <w:r>
            <w:rPr>
              <w:sz w:val="24"/>
              <w:szCs w:val="24"/>
            </w:rPr>
            <w:t>14</w:t>
          </w:r>
          <w:bookmarkEnd w:id="23"/>
          <w:r>
            <w:rPr>
              <w:sz w:val="24"/>
              <w:szCs w:val="24"/>
            </w:rPr>
            <w:fldChar w:fldCharType="end"/>
          </w:r>
        </w:p>
        <w:p>
          <w:pPr>
            <w:pStyle w:val="22"/>
            <w:tabs>
              <w:tab w:val="right" w:leader="dot" w:pos="8306"/>
            </w:tabs>
            <w:ind w:left="560"/>
            <w:rPr>
              <w:sz w:val="24"/>
              <w:szCs w:val="24"/>
            </w:rPr>
          </w:pPr>
          <w:r>
            <w:fldChar w:fldCharType="begin"/>
          </w:r>
          <w:r>
            <w:instrText xml:space="preserve"> HYPERLINK \l "_Toc28651_WPSOffice_Level2" </w:instrText>
          </w:r>
          <w:r>
            <w:fldChar w:fldCharType="separate"/>
          </w:r>
          <w:sdt>
            <w:sdtPr>
              <w:rPr>
                <w:rFonts w:eastAsia="宋体"/>
                <w:kern w:val="2"/>
                <w:sz w:val="24"/>
                <w:szCs w:val="24"/>
              </w:rPr>
              <w:id w:val="-562958410"/>
              <w:placeholder>
                <w:docPart w:val="{ca2169ce-e0d6-47dc-b16a-c95989924480}"/>
              </w:placeholder>
            </w:sdtPr>
            <w:sdtEndPr>
              <w:rPr>
                <w:rFonts w:eastAsia="宋体"/>
                <w:kern w:val="2"/>
                <w:sz w:val="24"/>
                <w:szCs w:val="24"/>
              </w:rPr>
            </w:sdtEndPr>
            <w:sdtContent>
              <w:r>
                <w:rPr>
                  <w:rFonts w:hint="eastAsia" w:ascii="宋体" w:hAnsi="宋体" w:eastAsia="宋体" w:cs="宋体"/>
                  <w:sz w:val="24"/>
                  <w:szCs w:val="24"/>
                </w:rPr>
                <w:t>8.2 监测仪器</w:t>
              </w:r>
            </w:sdtContent>
          </w:sdt>
          <w:r>
            <w:rPr>
              <w:sz w:val="24"/>
              <w:szCs w:val="24"/>
            </w:rPr>
            <w:tab/>
          </w:r>
          <w:bookmarkStart w:id="24" w:name="_Toc28651_WPSOffice_Level2Page"/>
          <w:r>
            <w:rPr>
              <w:sz w:val="24"/>
              <w:szCs w:val="24"/>
            </w:rPr>
            <w:t>14</w:t>
          </w:r>
          <w:bookmarkEnd w:id="24"/>
          <w:r>
            <w:rPr>
              <w:sz w:val="24"/>
              <w:szCs w:val="24"/>
            </w:rPr>
            <w:fldChar w:fldCharType="end"/>
          </w:r>
        </w:p>
        <w:p>
          <w:pPr>
            <w:pStyle w:val="22"/>
            <w:tabs>
              <w:tab w:val="right" w:leader="dot" w:pos="8306"/>
            </w:tabs>
            <w:ind w:left="560"/>
            <w:rPr>
              <w:sz w:val="24"/>
              <w:szCs w:val="24"/>
            </w:rPr>
          </w:pPr>
          <w:r>
            <w:fldChar w:fldCharType="begin"/>
          </w:r>
          <w:r>
            <w:instrText xml:space="preserve"> HYPERLINK \l "_Toc1347_WPSOffice_Level2" </w:instrText>
          </w:r>
          <w:r>
            <w:fldChar w:fldCharType="separate"/>
          </w:r>
          <w:sdt>
            <w:sdtPr>
              <w:rPr>
                <w:rFonts w:eastAsia="宋体"/>
                <w:kern w:val="2"/>
                <w:sz w:val="24"/>
                <w:szCs w:val="24"/>
              </w:rPr>
              <w:id w:val="-1808388162"/>
              <w:placeholder>
                <w:docPart w:val="{e25a8eee-7cb4-46b8-b82c-54c7d778ec46}"/>
              </w:placeholder>
            </w:sdtPr>
            <w:sdtEndPr>
              <w:rPr>
                <w:rFonts w:eastAsia="宋体"/>
                <w:kern w:val="2"/>
                <w:sz w:val="24"/>
                <w:szCs w:val="24"/>
              </w:rPr>
            </w:sdtEndPr>
            <w:sdtContent>
              <w:r>
                <w:rPr>
                  <w:rFonts w:hint="eastAsia" w:ascii="宋体" w:hAnsi="宋体" w:eastAsia="宋体" w:cs="宋体"/>
                  <w:sz w:val="24"/>
                  <w:szCs w:val="24"/>
                </w:rPr>
                <w:t>8.3人员资质</w:t>
              </w:r>
            </w:sdtContent>
          </w:sdt>
          <w:r>
            <w:rPr>
              <w:sz w:val="24"/>
              <w:szCs w:val="24"/>
            </w:rPr>
            <w:tab/>
          </w:r>
          <w:bookmarkStart w:id="25" w:name="_Toc1347_WPSOffice_Level2Page"/>
          <w:r>
            <w:rPr>
              <w:sz w:val="24"/>
              <w:szCs w:val="24"/>
            </w:rPr>
            <w:t>14</w:t>
          </w:r>
          <w:bookmarkEnd w:id="25"/>
          <w:r>
            <w:rPr>
              <w:sz w:val="24"/>
              <w:szCs w:val="24"/>
            </w:rPr>
            <w:fldChar w:fldCharType="end"/>
          </w:r>
        </w:p>
        <w:p>
          <w:pPr>
            <w:pStyle w:val="22"/>
            <w:tabs>
              <w:tab w:val="right" w:leader="dot" w:pos="8306"/>
            </w:tabs>
            <w:ind w:left="560"/>
            <w:rPr>
              <w:sz w:val="24"/>
              <w:szCs w:val="24"/>
            </w:rPr>
          </w:pPr>
          <w:r>
            <w:fldChar w:fldCharType="begin"/>
          </w:r>
          <w:r>
            <w:instrText xml:space="preserve"> HYPERLINK \l "_Toc62_WPSOffice_Level2" </w:instrText>
          </w:r>
          <w:r>
            <w:fldChar w:fldCharType="separate"/>
          </w:r>
          <w:sdt>
            <w:sdtPr>
              <w:rPr>
                <w:rFonts w:eastAsia="宋体"/>
                <w:kern w:val="2"/>
                <w:sz w:val="24"/>
                <w:szCs w:val="24"/>
              </w:rPr>
              <w:id w:val="-815327494"/>
              <w:placeholder>
                <w:docPart w:val="{0e48a6d8-64f7-403b-a64b-80f63e287665}"/>
              </w:placeholder>
            </w:sdtPr>
            <w:sdtEndPr>
              <w:rPr>
                <w:rFonts w:eastAsia="宋体"/>
                <w:kern w:val="2"/>
                <w:sz w:val="24"/>
                <w:szCs w:val="24"/>
              </w:rPr>
            </w:sdtEndPr>
            <w:sdtContent>
              <w:r>
                <w:rPr>
                  <w:rFonts w:hint="eastAsia" w:ascii="宋体" w:hAnsi="宋体" w:eastAsia="宋体" w:cs="宋体"/>
                  <w:sz w:val="24"/>
                  <w:szCs w:val="24"/>
                </w:rPr>
                <w:t>8.4 废水监测分析过程中的质量保证和质量控制</w:t>
              </w:r>
            </w:sdtContent>
          </w:sdt>
          <w:r>
            <w:rPr>
              <w:sz w:val="24"/>
              <w:szCs w:val="24"/>
            </w:rPr>
            <w:tab/>
          </w:r>
          <w:bookmarkStart w:id="26" w:name="_Toc62_WPSOffice_Level2Page"/>
          <w:r>
            <w:rPr>
              <w:sz w:val="24"/>
              <w:szCs w:val="24"/>
            </w:rPr>
            <w:t>15</w:t>
          </w:r>
          <w:bookmarkEnd w:id="26"/>
          <w:r>
            <w:rPr>
              <w:sz w:val="24"/>
              <w:szCs w:val="24"/>
            </w:rPr>
            <w:fldChar w:fldCharType="end"/>
          </w:r>
        </w:p>
        <w:p>
          <w:pPr>
            <w:pStyle w:val="22"/>
            <w:tabs>
              <w:tab w:val="right" w:leader="dot" w:pos="8306"/>
            </w:tabs>
            <w:ind w:left="560"/>
            <w:rPr>
              <w:sz w:val="24"/>
              <w:szCs w:val="24"/>
            </w:rPr>
          </w:pPr>
          <w:r>
            <w:fldChar w:fldCharType="begin"/>
          </w:r>
          <w:r>
            <w:instrText xml:space="preserve"> HYPERLINK \l "_Toc11544_WPSOffice_Level2" </w:instrText>
          </w:r>
          <w:r>
            <w:fldChar w:fldCharType="separate"/>
          </w:r>
          <w:sdt>
            <w:sdtPr>
              <w:rPr>
                <w:rFonts w:eastAsia="宋体"/>
                <w:kern w:val="2"/>
                <w:sz w:val="24"/>
                <w:szCs w:val="24"/>
              </w:rPr>
              <w:id w:val="-778949548"/>
              <w:placeholder>
                <w:docPart w:val="{1a452af5-1fa8-4f05-9e3f-48cbd799c02b}"/>
              </w:placeholder>
            </w:sdtPr>
            <w:sdtEndPr>
              <w:rPr>
                <w:rFonts w:eastAsia="宋体"/>
                <w:kern w:val="2"/>
                <w:sz w:val="24"/>
                <w:szCs w:val="24"/>
              </w:rPr>
            </w:sdtEndPr>
            <w:sdtContent>
              <w:r>
                <w:rPr>
                  <w:rFonts w:hint="eastAsia" w:ascii="宋体" w:hAnsi="宋体" w:eastAsia="宋体" w:cs="宋体"/>
                  <w:sz w:val="24"/>
                  <w:szCs w:val="24"/>
                </w:rPr>
                <w:t>8.5噪声监测分析过程中的质量保证和质量控制</w:t>
              </w:r>
            </w:sdtContent>
          </w:sdt>
          <w:r>
            <w:rPr>
              <w:sz w:val="24"/>
              <w:szCs w:val="24"/>
            </w:rPr>
            <w:tab/>
          </w:r>
          <w:bookmarkStart w:id="27" w:name="_Toc11544_WPSOffice_Level2Page"/>
          <w:r>
            <w:rPr>
              <w:sz w:val="24"/>
              <w:szCs w:val="24"/>
            </w:rPr>
            <w:t>15</w:t>
          </w:r>
          <w:bookmarkEnd w:id="27"/>
          <w:r>
            <w:rPr>
              <w:sz w:val="24"/>
              <w:szCs w:val="24"/>
            </w:rPr>
            <w:fldChar w:fldCharType="end"/>
          </w:r>
        </w:p>
        <w:p>
          <w:pPr>
            <w:pStyle w:val="21"/>
            <w:tabs>
              <w:tab w:val="right" w:leader="dot" w:pos="8306"/>
            </w:tabs>
            <w:rPr>
              <w:sz w:val="24"/>
              <w:szCs w:val="24"/>
            </w:rPr>
          </w:pPr>
          <w:r>
            <w:fldChar w:fldCharType="begin"/>
          </w:r>
          <w:r>
            <w:instrText xml:space="preserve"> HYPERLINK \l "_Toc32151_WPSOffice_Level1" </w:instrText>
          </w:r>
          <w:r>
            <w:fldChar w:fldCharType="separate"/>
          </w:r>
          <w:sdt>
            <w:sdtPr>
              <w:rPr>
                <w:rFonts w:eastAsia="宋体"/>
                <w:b/>
                <w:bCs/>
                <w:kern w:val="2"/>
                <w:sz w:val="24"/>
                <w:szCs w:val="24"/>
              </w:rPr>
              <w:id w:val="-176274014"/>
              <w:placeholder>
                <w:docPart w:val="{4da9b07e-ac81-4fbe-a2e5-a6e481dbfbc0}"/>
              </w:placeholder>
            </w:sdtPr>
            <w:sdtEndPr>
              <w:rPr>
                <w:rFonts w:eastAsia="宋体"/>
                <w:b/>
                <w:bCs/>
                <w:kern w:val="2"/>
                <w:sz w:val="24"/>
                <w:szCs w:val="24"/>
              </w:rPr>
            </w:sdtEndPr>
            <w:sdtContent>
              <w:r>
                <w:rPr>
                  <w:rFonts w:hint="eastAsia" w:eastAsia="宋体"/>
                  <w:b/>
                  <w:bCs/>
                  <w:sz w:val="24"/>
                  <w:szCs w:val="24"/>
                </w:rPr>
                <w:t>九、</w:t>
              </w:r>
              <w:r>
                <w:rPr>
                  <w:rFonts w:eastAsia="宋体"/>
                  <w:b/>
                  <w:bCs/>
                  <w:sz w:val="24"/>
                  <w:szCs w:val="24"/>
                </w:rPr>
                <w:t>验收监测</w:t>
              </w:r>
              <w:r>
                <w:rPr>
                  <w:rFonts w:hint="eastAsia" w:eastAsia="宋体"/>
                  <w:b/>
                  <w:bCs/>
                  <w:sz w:val="24"/>
                  <w:szCs w:val="24"/>
                </w:rPr>
                <w:t>结果</w:t>
              </w:r>
            </w:sdtContent>
          </w:sdt>
          <w:r>
            <w:rPr>
              <w:b/>
              <w:bCs/>
              <w:sz w:val="24"/>
              <w:szCs w:val="24"/>
            </w:rPr>
            <w:tab/>
          </w:r>
          <w:bookmarkStart w:id="28" w:name="_Toc32151_WPSOffice_Level1Page"/>
          <w:r>
            <w:rPr>
              <w:b/>
              <w:bCs/>
              <w:sz w:val="24"/>
              <w:szCs w:val="24"/>
            </w:rPr>
            <w:t>16</w:t>
          </w:r>
          <w:bookmarkEnd w:id="28"/>
          <w:r>
            <w:rPr>
              <w:b/>
              <w:bCs/>
              <w:sz w:val="24"/>
              <w:szCs w:val="24"/>
            </w:rPr>
            <w:fldChar w:fldCharType="end"/>
          </w:r>
        </w:p>
        <w:p>
          <w:pPr>
            <w:pStyle w:val="22"/>
            <w:tabs>
              <w:tab w:val="right" w:leader="dot" w:pos="8306"/>
            </w:tabs>
            <w:ind w:left="560"/>
            <w:rPr>
              <w:sz w:val="24"/>
              <w:szCs w:val="24"/>
            </w:rPr>
          </w:pPr>
          <w:r>
            <w:fldChar w:fldCharType="begin"/>
          </w:r>
          <w:r>
            <w:instrText xml:space="preserve"> HYPERLINK \l "_Toc17319_WPSOffice_Level2" </w:instrText>
          </w:r>
          <w:r>
            <w:fldChar w:fldCharType="separate"/>
          </w:r>
          <w:sdt>
            <w:sdtPr>
              <w:rPr>
                <w:rFonts w:eastAsia="宋体"/>
                <w:kern w:val="2"/>
                <w:sz w:val="24"/>
                <w:szCs w:val="24"/>
              </w:rPr>
              <w:id w:val="-1123231823"/>
              <w:placeholder>
                <w:docPart w:val="{44ae7485-c46d-48bb-8c58-f1ac96f38513}"/>
              </w:placeholder>
            </w:sdtPr>
            <w:sdtEndPr>
              <w:rPr>
                <w:rFonts w:eastAsia="宋体"/>
                <w:kern w:val="2"/>
                <w:sz w:val="24"/>
                <w:szCs w:val="24"/>
              </w:rPr>
            </w:sdtEndPr>
            <w:sdtContent>
              <w:r>
                <w:rPr>
                  <w:rFonts w:hint="eastAsia" w:ascii="Arial" w:hAnsi="Arial" w:eastAsia="宋体"/>
                  <w:sz w:val="24"/>
                  <w:szCs w:val="24"/>
                </w:rPr>
                <w:t>9.1 生产工况</w:t>
              </w:r>
            </w:sdtContent>
          </w:sdt>
          <w:r>
            <w:rPr>
              <w:sz w:val="24"/>
              <w:szCs w:val="24"/>
            </w:rPr>
            <w:tab/>
          </w:r>
          <w:bookmarkStart w:id="29" w:name="_Toc17319_WPSOffice_Level2Page"/>
          <w:r>
            <w:rPr>
              <w:sz w:val="24"/>
              <w:szCs w:val="24"/>
            </w:rPr>
            <w:t>16</w:t>
          </w:r>
          <w:bookmarkEnd w:id="29"/>
          <w:r>
            <w:rPr>
              <w:sz w:val="24"/>
              <w:szCs w:val="24"/>
            </w:rPr>
            <w:fldChar w:fldCharType="end"/>
          </w:r>
        </w:p>
        <w:p>
          <w:pPr>
            <w:pStyle w:val="22"/>
            <w:tabs>
              <w:tab w:val="right" w:leader="dot" w:pos="8306"/>
            </w:tabs>
            <w:ind w:left="560"/>
            <w:rPr>
              <w:sz w:val="24"/>
              <w:szCs w:val="24"/>
            </w:rPr>
          </w:pPr>
          <w:r>
            <w:fldChar w:fldCharType="begin"/>
          </w:r>
          <w:r>
            <w:instrText xml:space="preserve"> HYPERLINK \l "_Toc29762_WPSOffice_Level2" </w:instrText>
          </w:r>
          <w:r>
            <w:fldChar w:fldCharType="separate"/>
          </w:r>
          <w:sdt>
            <w:sdtPr>
              <w:rPr>
                <w:rFonts w:eastAsia="宋体"/>
                <w:kern w:val="2"/>
                <w:sz w:val="24"/>
                <w:szCs w:val="24"/>
              </w:rPr>
              <w:id w:val="50121090"/>
              <w:placeholder>
                <w:docPart w:val="{2a1affaf-43ee-4869-a585-fd42e9eaee04}"/>
              </w:placeholder>
            </w:sdtPr>
            <w:sdtEndPr>
              <w:rPr>
                <w:rFonts w:eastAsia="宋体"/>
                <w:kern w:val="2"/>
                <w:sz w:val="24"/>
                <w:szCs w:val="24"/>
              </w:rPr>
            </w:sdtEndPr>
            <w:sdtContent>
              <w:r>
                <w:rPr>
                  <w:rFonts w:hint="eastAsia" w:ascii="Arial" w:hAnsi="Arial" w:eastAsia="宋体"/>
                  <w:sz w:val="24"/>
                  <w:szCs w:val="24"/>
                </w:rPr>
                <w:t>9.2 环境保设施调试效果</w:t>
              </w:r>
            </w:sdtContent>
          </w:sdt>
          <w:r>
            <w:rPr>
              <w:sz w:val="24"/>
              <w:szCs w:val="24"/>
            </w:rPr>
            <w:tab/>
          </w:r>
          <w:bookmarkStart w:id="30" w:name="_Toc29762_WPSOffice_Level2Page"/>
          <w:r>
            <w:rPr>
              <w:sz w:val="24"/>
              <w:szCs w:val="24"/>
            </w:rPr>
            <w:t>16</w:t>
          </w:r>
          <w:bookmarkEnd w:id="30"/>
          <w:r>
            <w:rPr>
              <w:sz w:val="24"/>
              <w:szCs w:val="24"/>
            </w:rPr>
            <w:fldChar w:fldCharType="end"/>
          </w:r>
        </w:p>
        <w:p>
          <w:pPr>
            <w:pStyle w:val="21"/>
            <w:tabs>
              <w:tab w:val="right" w:leader="dot" w:pos="8306"/>
            </w:tabs>
            <w:rPr>
              <w:sz w:val="24"/>
              <w:szCs w:val="24"/>
            </w:rPr>
          </w:pPr>
          <w:r>
            <w:fldChar w:fldCharType="begin"/>
          </w:r>
          <w:r>
            <w:instrText xml:space="preserve"> HYPERLINK \l "_Toc17432_WPSOffice_Level1" </w:instrText>
          </w:r>
          <w:r>
            <w:fldChar w:fldCharType="separate"/>
          </w:r>
          <w:sdt>
            <w:sdtPr>
              <w:rPr>
                <w:rFonts w:eastAsia="宋体"/>
                <w:b/>
                <w:bCs/>
                <w:kern w:val="2"/>
                <w:sz w:val="24"/>
                <w:szCs w:val="24"/>
              </w:rPr>
              <w:id w:val="-391039518"/>
              <w:placeholder>
                <w:docPart w:val="{d87fc65c-3a34-47b9-acc4-10ff8bf8121f}"/>
              </w:placeholder>
            </w:sdtPr>
            <w:sdtEndPr>
              <w:rPr>
                <w:rFonts w:eastAsia="宋体"/>
                <w:b/>
                <w:bCs/>
                <w:kern w:val="2"/>
                <w:sz w:val="24"/>
                <w:szCs w:val="24"/>
              </w:rPr>
            </w:sdtEndPr>
            <w:sdtContent>
              <w:r>
                <w:rPr>
                  <w:rFonts w:hint="eastAsia" w:ascii="Times New Roman" w:hAnsi="Times New Roman" w:eastAsia="宋体" w:cs="Times New Roman"/>
                  <w:b/>
                  <w:bCs/>
                  <w:sz w:val="24"/>
                  <w:szCs w:val="24"/>
                </w:rPr>
                <w:t>十、</w:t>
              </w:r>
              <w:r>
                <w:rPr>
                  <w:rFonts w:ascii="Times New Roman" w:hAnsi="Times New Roman" w:eastAsia="宋体" w:cs="Times New Roman"/>
                  <w:b/>
                  <w:bCs/>
                  <w:sz w:val="24"/>
                  <w:szCs w:val="24"/>
                </w:rPr>
                <w:t>验收监测结论</w:t>
              </w:r>
            </w:sdtContent>
          </w:sdt>
          <w:r>
            <w:rPr>
              <w:b/>
              <w:bCs/>
              <w:sz w:val="24"/>
              <w:szCs w:val="24"/>
            </w:rPr>
            <w:tab/>
          </w:r>
          <w:bookmarkStart w:id="31" w:name="_Toc17432_WPSOffice_Level1Page"/>
          <w:r>
            <w:rPr>
              <w:b/>
              <w:bCs/>
              <w:sz w:val="24"/>
              <w:szCs w:val="24"/>
            </w:rPr>
            <w:t>20</w:t>
          </w:r>
          <w:bookmarkEnd w:id="31"/>
          <w:r>
            <w:rPr>
              <w:b/>
              <w:bCs/>
              <w:sz w:val="24"/>
              <w:szCs w:val="24"/>
            </w:rPr>
            <w:fldChar w:fldCharType="end"/>
          </w:r>
        </w:p>
        <w:p>
          <w:pPr>
            <w:pStyle w:val="22"/>
            <w:tabs>
              <w:tab w:val="right" w:leader="dot" w:pos="8306"/>
            </w:tabs>
            <w:ind w:left="560"/>
            <w:rPr>
              <w:sz w:val="24"/>
              <w:szCs w:val="24"/>
            </w:rPr>
          </w:pPr>
          <w:r>
            <w:fldChar w:fldCharType="begin"/>
          </w:r>
          <w:r>
            <w:instrText xml:space="preserve"> HYPERLINK \l "_Toc7607_WPSOffice_Level2" </w:instrText>
          </w:r>
          <w:r>
            <w:fldChar w:fldCharType="separate"/>
          </w:r>
          <w:sdt>
            <w:sdtPr>
              <w:rPr>
                <w:rFonts w:eastAsia="宋体"/>
                <w:kern w:val="2"/>
                <w:sz w:val="24"/>
                <w:szCs w:val="24"/>
              </w:rPr>
              <w:id w:val="2125425778"/>
              <w:placeholder>
                <w:docPart w:val="{f051429f-62f0-428d-a0af-6c148f7c6c7c}"/>
              </w:placeholder>
            </w:sdtPr>
            <w:sdtEndPr>
              <w:rPr>
                <w:rFonts w:eastAsia="宋体"/>
                <w:kern w:val="2"/>
                <w:sz w:val="24"/>
                <w:szCs w:val="24"/>
              </w:rPr>
            </w:sdtEndPr>
            <w:sdtContent>
              <w:r>
                <w:rPr>
                  <w:rFonts w:hint="eastAsia" w:ascii="Times New Roman" w:hAnsi="Times New Roman" w:eastAsia="宋体" w:cs="Times New Roman"/>
                  <w:sz w:val="24"/>
                  <w:szCs w:val="24"/>
                </w:rPr>
                <w:t>10.1</w:t>
              </w:r>
              <w:r>
                <w:rPr>
                  <w:rFonts w:ascii="Times New Roman" w:hAnsi="Times New Roman" w:eastAsia="宋体" w:cs="Times New Roman"/>
                  <w:sz w:val="24"/>
                  <w:szCs w:val="24"/>
                </w:rPr>
                <w:t>环境保设施调试效果</w:t>
              </w:r>
            </w:sdtContent>
          </w:sdt>
          <w:r>
            <w:rPr>
              <w:sz w:val="24"/>
              <w:szCs w:val="24"/>
            </w:rPr>
            <w:tab/>
          </w:r>
          <w:bookmarkStart w:id="32" w:name="_Toc7607_WPSOffice_Level2Page"/>
          <w:r>
            <w:rPr>
              <w:sz w:val="24"/>
              <w:szCs w:val="24"/>
            </w:rPr>
            <w:t>20</w:t>
          </w:r>
          <w:bookmarkEnd w:id="32"/>
          <w:r>
            <w:rPr>
              <w:sz w:val="24"/>
              <w:szCs w:val="24"/>
            </w:rPr>
            <w:fldChar w:fldCharType="end"/>
          </w:r>
        </w:p>
        <w:p>
          <w:pPr>
            <w:pStyle w:val="22"/>
            <w:tabs>
              <w:tab w:val="right" w:leader="dot" w:pos="8306"/>
            </w:tabs>
            <w:ind w:left="560"/>
            <w:rPr>
              <w:sz w:val="24"/>
              <w:szCs w:val="24"/>
            </w:rPr>
          </w:pPr>
          <w:r>
            <w:fldChar w:fldCharType="begin"/>
          </w:r>
          <w:r>
            <w:instrText xml:space="preserve"> HYPERLINK \l "_Toc30007_WPSOffice_Level2" </w:instrText>
          </w:r>
          <w:r>
            <w:fldChar w:fldCharType="separate"/>
          </w:r>
          <w:sdt>
            <w:sdtPr>
              <w:rPr>
                <w:rFonts w:eastAsia="宋体"/>
                <w:kern w:val="2"/>
                <w:sz w:val="24"/>
                <w:szCs w:val="24"/>
              </w:rPr>
              <w:id w:val="-1109280916"/>
              <w:placeholder>
                <w:docPart w:val="{5e87bdaf-e90c-48fa-b920-8642c7452679}"/>
              </w:placeholder>
            </w:sdtPr>
            <w:sdtEndPr>
              <w:rPr>
                <w:rFonts w:eastAsia="宋体"/>
                <w:kern w:val="2"/>
                <w:sz w:val="24"/>
                <w:szCs w:val="24"/>
              </w:rPr>
            </w:sdtEndPr>
            <w:sdtContent>
              <w:r>
                <w:rPr>
                  <w:rFonts w:hint="eastAsia" w:ascii="Times New Roman" w:hAnsi="Times New Roman" w:eastAsia="宋体" w:cs="Times New Roman"/>
                  <w:sz w:val="24"/>
                  <w:szCs w:val="24"/>
                </w:rPr>
                <w:t>10.2</w:t>
              </w:r>
              <w:r>
                <w:rPr>
                  <w:rFonts w:ascii="Times New Roman" w:hAnsi="Times New Roman" w:eastAsia="宋体" w:cs="Times New Roman"/>
                  <w:sz w:val="24"/>
                  <w:szCs w:val="24"/>
                </w:rPr>
                <w:t>环境管理检查结论</w:t>
              </w:r>
            </w:sdtContent>
          </w:sdt>
          <w:r>
            <w:rPr>
              <w:sz w:val="24"/>
              <w:szCs w:val="24"/>
            </w:rPr>
            <w:tab/>
          </w:r>
          <w:bookmarkStart w:id="33" w:name="_Toc30007_WPSOffice_Level2Page"/>
          <w:r>
            <w:rPr>
              <w:sz w:val="24"/>
              <w:szCs w:val="24"/>
            </w:rPr>
            <w:t>21</w:t>
          </w:r>
          <w:bookmarkEnd w:id="33"/>
          <w:r>
            <w:rPr>
              <w:sz w:val="24"/>
              <w:szCs w:val="24"/>
            </w:rPr>
            <w:fldChar w:fldCharType="end"/>
          </w:r>
        </w:p>
        <w:p>
          <w:pPr>
            <w:pStyle w:val="22"/>
            <w:tabs>
              <w:tab w:val="right" w:leader="dot" w:pos="8306"/>
            </w:tabs>
            <w:ind w:left="560"/>
            <w:rPr>
              <w:sz w:val="24"/>
              <w:szCs w:val="24"/>
            </w:rPr>
          </w:pPr>
          <w:r>
            <w:fldChar w:fldCharType="begin"/>
          </w:r>
          <w:r>
            <w:instrText xml:space="preserve"> HYPERLINK \l "_Toc8715_WPSOffice_Level2" </w:instrText>
          </w:r>
          <w:r>
            <w:fldChar w:fldCharType="separate"/>
          </w:r>
          <w:sdt>
            <w:sdtPr>
              <w:rPr>
                <w:rFonts w:eastAsia="宋体"/>
                <w:kern w:val="2"/>
                <w:sz w:val="24"/>
                <w:szCs w:val="24"/>
              </w:rPr>
              <w:id w:val="487519152"/>
              <w:placeholder>
                <w:docPart w:val="{23b2822a-b218-4522-a63d-e889762edd54}"/>
              </w:placeholder>
            </w:sdtPr>
            <w:sdtEndPr>
              <w:rPr>
                <w:rFonts w:eastAsia="宋体"/>
                <w:kern w:val="2"/>
                <w:sz w:val="24"/>
                <w:szCs w:val="24"/>
              </w:rPr>
            </w:sdtEndPr>
            <w:sdtContent>
              <w:r>
                <w:rPr>
                  <w:rFonts w:hint="eastAsia" w:ascii="Arial" w:hAnsi="Arial" w:eastAsia="宋体"/>
                  <w:sz w:val="24"/>
                  <w:szCs w:val="24"/>
                </w:rPr>
                <w:t>10.3</w:t>
              </w:r>
              <w:r>
                <w:rPr>
                  <w:rFonts w:ascii="Arial" w:hAnsi="Arial" w:eastAsia="宋体"/>
                  <w:sz w:val="24"/>
                  <w:szCs w:val="24"/>
                </w:rPr>
                <w:t>验收总结论</w:t>
              </w:r>
            </w:sdtContent>
          </w:sdt>
          <w:r>
            <w:rPr>
              <w:sz w:val="24"/>
              <w:szCs w:val="24"/>
            </w:rPr>
            <w:tab/>
          </w:r>
          <w:bookmarkStart w:id="34" w:name="_Toc8715_WPSOffice_Level2Page"/>
          <w:r>
            <w:rPr>
              <w:sz w:val="24"/>
              <w:szCs w:val="24"/>
            </w:rPr>
            <w:t>21</w:t>
          </w:r>
          <w:bookmarkEnd w:id="34"/>
          <w:r>
            <w:rPr>
              <w:sz w:val="24"/>
              <w:szCs w:val="24"/>
            </w:rPr>
            <w:fldChar w:fldCharType="end"/>
          </w:r>
        </w:p>
        <w:p>
          <w:pPr>
            <w:pStyle w:val="21"/>
            <w:tabs>
              <w:tab w:val="right" w:leader="dot" w:pos="8306"/>
            </w:tabs>
            <w:rPr>
              <w:sz w:val="24"/>
              <w:szCs w:val="24"/>
            </w:rPr>
          </w:pPr>
          <w:r>
            <w:fldChar w:fldCharType="begin"/>
          </w:r>
          <w:r>
            <w:instrText xml:space="preserve"> HYPERLINK \l "_Toc13722_WPSOffice_Level1" </w:instrText>
          </w:r>
          <w:r>
            <w:fldChar w:fldCharType="separate"/>
          </w:r>
          <w:sdt>
            <w:sdtPr>
              <w:rPr>
                <w:rFonts w:eastAsia="宋体"/>
                <w:b/>
                <w:bCs/>
                <w:kern w:val="2"/>
                <w:sz w:val="24"/>
                <w:szCs w:val="24"/>
              </w:rPr>
              <w:id w:val="132458247"/>
              <w:placeholder>
                <w:docPart w:val="{dc44e131-f781-4477-97a8-9ec82577e7ca}"/>
              </w:placeholder>
            </w:sdtPr>
            <w:sdtEndPr>
              <w:rPr>
                <w:rFonts w:eastAsia="宋体"/>
                <w:b/>
                <w:bCs/>
                <w:kern w:val="2"/>
                <w:sz w:val="24"/>
                <w:szCs w:val="24"/>
              </w:rPr>
            </w:sdtEndPr>
            <w:sdtContent>
              <w:r>
                <w:rPr>
                  <w:rFonts w:hint="eastAsia" w:eastAsia="宋体"/>
                  <w:b/>
                  <w:bCs/>
                  <w:sz w:val="24"/>
                  <w:szCs w:val="24"/>
                </w:rPr>
                <w:t>十一、建设项目环境保护“三同时”竣工验收登记表</w:t>
              </w:r>
            </w:sdtContent>
          </w:sdt>
          <w:r>
            <w:rPr>
              <w:b/>
              <w:bCs/>
              <w:sz w:val="24"/>
              <w:szCs w:val="24"/>
            </w:rPr>
            <w:tab/>
          </w:r>
          <w:bookmarkStart w:id="35" w:name="_Toc13722_WPSOffice_Level1Page"/>
          <w:r>
            <w:rPr>
              <w:b/>
              <w:bCs/>
              <w:sz w:val="24"/>
              <w:szCs w:val="24"/>
            </w:rPr>
            <w:t>22</w:t>
          </w:r>
          <w:bookmarkEnd w:id="35"/>
          <w:r>
            <w:rPr>
              <w:b/>
              <w:bCs/>
              <w:sz w:val="24"/>
              <w:szCs w:val="24"/>
            </w:rPr>
            <w:fldChar w:fldCharType="end"/>
          </w:r>
        </w:p>
      </w:sdtContent>
    </w:sdt>
    <w:bookmarkEnd w:id="0"/>
    <w:p>
      <w:pPr>
        <w:ind w:firstLine="480"/>
        <w:rPr>
          <w:sz w:val="24"/>
        </w:rPr>
        <w:sectPr>
          <w:footerReference r:id="rId8" w:type="default"/>
          <w:pgSz w:w="11906" w:h="16838"/>
          <w:pgMar w:top="1440" w:right="1800" w:bottom="1440" w:left="1800" w:header="851" w:footer="992" w:gutter="0"/>
          <w:pgNumType w:start="1"/>
          <w:cols w:space="425" w:num="1"/>
          <w:docGrid w:type="lines" w:linePitch="312" w:charSpace="0"/>
        </w:sectPr>
      </w:pPr>
    </w:p>
    <w:p>
      <w:pPr>
        <w:pStyle w:val="5"/>
      </w:pPr>
      <w:bookmarkStart w:id="36" w:name="_Toc29204_WPSOffice_Level1"/>
      <w:bookmarkStart w:id="37" w:name="_Toc12898_WPSOffice_Level1"/>
      <w:r>
        <w:rPr>
          <w:rFonts w:hint="eastAsia"/>
        </w:rPr>
        <w:t>一、</w:t>
      </w:r>
      <w:r>
        <w:t>验收项目概况</w:t>
      </w:r>
      <w:bookmarkEnd w:id="36"/>
      <w:bookmarkEnd w:id="37"/>
    </w:p>
    <w:p>
      <w:pPr>
        <w:ind w:firstLine="560"/>
      </w:pPr>
      <w:r>
        <w:rPr>
          <w:rFonts w:hint="eastAsia"/>
        </w:rPr>
        <w:t>潍坊万汇置业有限公司是一家从事房地产开发的公司，“万汇·滨河花园小区”位于诸城市昌城镇得利斯大道西首北侧咸家河岔村东侧，该项目规划用地面积为10318平方米，总建筑面积为16932.21平方米。项目总投资3500万元，环保投资400万元。本项目建设1#商住楼、2#住宅楼、3#住宅楼、4#住宅楼、5#住宅楼、6#商住楼、物业及附属设施。</w:t>
      </w:r>
    </w:p>
    <w:p>
      <w:pPr>
        <w:ind w:firstLine="560"/>
      </w:pPr>
      <w:r>
        <w:rPr>
          <w:rFonts w:hint="eastAsia"/>
        </w:rPr>
        <w:t>2009年12月项目开始建设，2014年01月竣工并投入试运行。</w:t>
      </w:r>
    </w:p>
    <w:p>
      <w:pPr>
        <w:ind w:firstLine="560"/>
      </w:pPr>
      <w:r>
        <w:rPr>
          <w:rFonts w:hint="eastAsia"/>
        </w:rPr>
        <w:t>2014年3月26日诸城市昌城镇人民政府对该项目进行了环境影响评价登记表审批（简政放权，房地产项目环评备案登记由乡镇政府审批）。</w:t>
      </w:r>
    </w:p>
    <w:p>
      <w:pPr>
        <w:ind w:firstLine="560"/>
        <w:sectPr>
          <w:footerReference r:id="rId9" w:type="default"/>
          <w:pgSz w:w="11906" w:h="16838"/>
          <w:pgMar w:top="1440" w:right="1800" w:bottom="1440" w:left="1800" w:header="851" w:footer="992" w:gutter="0"/>
          <w:pgNumType w:start="1"/>
          <w:cols w:space="425" w:num="1"/>
          <w:docGrid w:type="lines" w:linePitch="312" w:charSpace="0"/>
        </w:sectPr>
      </w:pPr>
      <w:r>
        <w:rPr>
          <w:rFonts w:hint="eastAsia"/>
        </w:rPr>
        <w:t>本项目现已建设完成，具备环境保护验收监测条件，潍坊万汇置业有限公司于2018年5月1号至2号委托山东华一检测有限公司进行检测，潍坊万汇置业有限公司编制了《潍坊万汇置业有限公司万汇·滨河花园小区项目竣工环境验收监测报告》 。</w:t>
      </w:r>
    </w:p>
    <w:p>
      <w:pPr>
        <w:pStyle w:val="5"/>
      </w:pPr>
      <w:bookmarkStart w:id="38" w:name="_Toc22787_WPSOffice_Level1"/>
      <w:bookmarkStart w:id="39" w:name="_Toc22883_WPSOffice_Level1"/>
      <w:r>
        <w:rPr>
          <w:rFonts w:hint="eastAsia"/>
        </w:rPr>
        <w:t>二、</w:t>
      </w:r>
      <w:r>
        <w:t>验收依据</w:t>
      </w:r>
      <w:bookmarkEnd w:id="38"/>
      <w:bookmarkEnd w:id="39"/>
    </w:p>
    <w:p>
      <w:pPr>
        <w:pStyle w:val="6"/>
        <w:ind w:firstLine="0" w:firstLineChars="0"/>
      </w:pPr>
      <w:bookmarkStart w:id="40" w:name="_Toc22787_WPSOffice_Level2"/>
      <w:bookmarkStart w:id="41" w:name="_Toc22883_WPSOffice_Level2"/>
      <w:r>
        <w:t>2.1 法律</w:t>
      </w:r>
      <w:bookmarkEnd w:id="40"/>
      <w:bookmarkEnd w:id="41"/>
    </w:p>
    <w:p>
      <w:pPr>
        <w:ind w:firstLine="560"/>
      </w:pPr>
      <w:r>
        <w:t>（1）《中华人民共和国环境保护法》（2014.4.24修订，2015.1.1施行）；</w:t>
      </w:r>
    </w:p>
    <w:p>
      <w:pPr>
        <w:ind w:firstLine="560"/>
      </w:pPr>
      <w:r>
        <w:t>（2）《中华人民共和国大气污染防治法》（2015.8.29修订，2016.1.1施行）；</w:t>
      </w:r>
    </w:p>
    <w:p>
      <w:pPr>
        <w:ind w:firstLine="560"/>
      </w:pPr>
      <w:r>
        <w:t>（3）《中华人民共和国水污染防治法》（2017.6.27修订，2018.1.1施行）；</w:t>
      </w:r>
    </w:p>
    <w:p>
      <w:pPr>
        <w:ind w:firstLine="560"/>
      </w:pPr>
      <w:r>
        <w:t>（4）《中华人民共和国环境噪声污染防治法》（2015.8.29修订）；</w:t>
      </w:r>
    </w:p>
    <w:p>
      <w:pPr>
        <w:ind w:firstLine="560"/>
      </w:pPr>
      <w:r>
        <w:t>（5）《中华人民共和国固体废物污染环境防治法》（2016.11.7修订）；</w:t>
      </w:r>
    </w:p>
    <w:p>
      <w:pPr>
        <w:ind w:firstLine="560"/>
      </w:pPr>
      <w:r>
        <w:t>（6）《中华人民共和国清洁生产促进法》（2012.2.29）；</w:t>
      </w:r>
    </w:p>
    <w:p>
      <w:pPr>
        <w:ind w:firstLine="560"/>
      </w:pPr>
      <w:r>
        <w:t>（7）《中华人民共和国环境影响评价法》（2016年7月2日修订）。</w:t>
      </w:r>
    </w:p>
    <w:p>
      <w:pPr>
        <w:pStyle w:val="6"/>
        <w:ind w:firstLine="0" w:firstLineChars="0"/>
      </w:pPr>
      <w:bookmarkStart w:id="42" w:name="_Toc15030_WPSOffice_Level2"/>
      <w:bookmarkStart w:id="43" w:name="_Toc22901_WPSOffice_Level2"/>
      <w:r>
        <w:t>2.2 法规、规章</w:t>
      </w:r>
      <w:bookmarkEnd w:id="42"/>
      <w:bookmarkEnd w:id="43"/>
    </w:p>
    <w:p>
      <w:pPr>
        <w:ind w:firstLine="560"/>
      </w:pPr>
      <w:r>
        <w:t>（1）《建设项目竣工环境保护验收暂行办法》（国环规环评[2017]4号）；</w:t>
      </w:r>
    </w:p>
    <w:p>
      <w:pPr>
        <w:ind w:firstLine="560"/>
      </w:pPr>
      <w:r>
        <w:t>（2）环境保护部 环发[2012]77号文《关于进一步加强环境影响评价管理防范环境风险的通知》（2012.07）；</w:t>
      </w:r>
    </w:p>
    <w:p>
      <w:pPr>
        <w:ind w:firstLine="560"/>
      </w:pPr>
      <w:r>
        <w:t>（3）《关于印发建设项目竣工环境保护验收现场检查及审查要点的通知》（环办[2015]113号）；</w:t>
      </w:r>
    </w:p>
    <w:p>
      <w:pPr>
        <w:ind w:firstLine="560"/>
      </w:pPr>
      <w:r>
        <w:t>（4）《山东省环境保护厅关于进一步加强环境安全应急管理工作的通知》鲁环发[2013]4号文（2013.01）；</w:t>
      </w:r>
    </w:p>
    <w:p>
      <w:pPr>
        <w:ind w:firstLine="560"/>
      </w:pPr>
      <w:r>
        <w:t>（5）鲁环评函[2013]138号文《山东省环境保护厅关于加强建设项目特征污染物监管和绿色生态屏障建设的通知》（2013.03）；</w:t>
      </w:r>
    </w:p>
    <w:p>
      <w:pPr>
        <w:ind w:firstLine="560"/>
      </w:pPr>
      <w:r>
        <w:t>（6）建设项目竣工环境保护验收技术指南—污染影响类。</w:t>
      </w:r>
    </w:p>
    <w:p>
      <w:pPr>
        <w:ind w:firstLine="560"/>
      </w:pPr>
      <w:r>
        <w:t xml:space="preserve">（7） </w:t>
      </w:r>
      <w:r>
        <w:rPr>
          <w:lang w:val="zh-CN"/>
        </w:rPr>
        <w:t>山东省人大第99号令《山东省环境保护条例》（2001.12）；</w:t>
      </w:r>
    </w:p>
    <w:p>
      <w:pPr>
        <w:ind w:firstLine="560"/>
      </w:pPr>
      <w:r>
        <w:t>（8）《</w:t>
      </w:r>
      <w:r>
        <w:rPr>
          <w:lang w:val="zh-CN"/>
        </w:rPr>
        <w:t>&lt;山东省建设项目竣工环境保护验收专家库管理办法&gt;的通知》，(2011.12)</w:t>
      </w:r>
      <w:r>
        <w:t>；</w:t>
      </w:r>
    </w:p>
    <w:p>
      <w:pPr>
        <w:ind w:firstLine="560"/>
      </w:pPr>
      <w:r>
        <w:t xml:space="preserve">（9） </w:t>
      </w:r>
      <w:r>
        <w:rPr>
          <w:lang w:val="zh-CN"/>
        </w:rPr>
        <w:t>鲁环函[2011]417号文《山东省环境保护厅关于加强建设项目竣工环境保护验收管理的通知》(2011.6)；</w:t>
      </w:r>
    </w:p>
    <w:p>
      <w:pPr>
        <w:ind w:firstLine="560"/>
        <w:rPr>
          <w:lang w:val="zh-CN"/>
        </w:rPr>
      </w:pPr>
      <w:r>
        <w:t>（10）</w:t>
      </w:r>
      <w:r>
        <w:rPr>
          <w:lang w:val="zh-CN"/>
        </w:rPr>
        <w:t>环境保护部和国家发展和改革委员会令第1号《国家危险废物名录》（2008.6）；</w:t>
      </w:r>
    </w:p>
    <w:p>
      <w:pPr>
        <w:ind w:firstLine="560"/>
        <w:rPr>
          <w:lang w:val="zh-CN"/>
        </w:rPr>
      </w:pPr>
      <w:r>
        <w:t>（11）</w:t>
      </w:r>
      <w:r>
        <w:rPr>
          <w:lang w:val="zh-CN"/>
        </w:rPr>
        <w:t>鲁政办发[2006]60号《山东省人民政府办公厅关于加强环境影响评价和建设项目环境保护设施“三同时”管理工作的通知》(2006.7)；</w:t>
      </w:r>
    </w:p>
    <w:p>
      <w:pPr>
        <w:ind w:firstLine="560"/>
        <w:rPr>
          <w:lang w:val="zh-CN"/>
        </w:rPr>
      </w:pPr>
      <w:r>
        <w:t>（12）</w:t>
      </w:r>
      <w:r>
        <w:rPr>
          <w:lang w:val="zh-CN"/>
        </w:rPr>
        <w:t>山东省环境保护局鲁环发[2007]131号《关于进一步落实好环评和“三同时”制度的意见》（2007.9）；</w:t>
      </w:r>
    </w:p>
    <w:p>
      <w:pPr>
        <w:ind w:firstLine="560"/>
        <w:rPr>
          <w:lang w:val="zh-CN"/>
        </w:rPr>
      </w:pPr>
      <w:r>
        <w:t>（13）</w:t>
      </w:r>
      <w:r>
        <w:rPr>
          <w:lang w:val="zh-CN"/>
        </w:rPr>
        <w:t>环境保护部环发[2012]77号《关于进一步加强环境影响评价管理防范环境风险的通知》（2012.7）；</w:t>
      </w:r>
    </w:p>
    <w:p>
      <w:pPr>
        <w:ind w:firstLine="560"/>
        <w:rPr>
          <w:lang w:val="zh-CN"/>
        </w:rPr>
      </w:pPr>
      <w:r>
        <w:t xml:space="preserve">（14） </w:t>
      </w:r>
      <w:r>
        <w:rPr>
          <w:lang w:val="zh-CN"/>
        </w:rPr>
        <w:t xml:space="preserve">鲁环函[2012]493号《山东省环境保护厅关于加强建设项目竣工环境保护验收等有关环境监管问题的通知》（2012）； </w:t>
      </w:r>
    </w:p>
    <w:p>
      <w:pPr>
        <w:ind w:firstLine="560"/>
        <w:rPr>
          <w:lang w:val="zh-CN"/>
        </w:rPr>
      </w:pPr>
      <w:r>
        <w:t xml:space="preserve">（15） </w:t>
      </w:r>
      <w:r>
        <w:rPr>
          <w:lang w:val="zh-CN"/>
        </w:rPr>
        <w:t>鲁环发[2013]4号《山东省环境保护厅关于进一步加强环境安全应急管理工作的通知》（2013.1）；</w:t>
      </w:r>
    </w:p>
    <w:p>
      <w:pPr>
        <w:ind w:firstLine="560"/>
        <w:rPr>
          <w:lang w:val="zh-CN"/>
        </w:rPr>
      </w:pPr>
      <w:r>
        <w:rPr>
          <w:lang w:val="zh-CN"/>
        </w:rPr>
        <w:t>（</w:t>
      </w:r>
      <w:r>
        <w:t>16</w:t>
      </w:r>
      <w:r>
        <w:rPr>
          <w:lang w:val="zh-CN"/>
        </w:rPr>
        <w:t>）环境保护部环发[2012]98号《关于切实加强风险防范严格环境影响评价管理的通知》（2012.8）；</w:t>
      </w:r>
    </w:p>
    <w:p>
      <w:pPr>
        <w:ind w:firstLine="560"/>
        <w:rPr>
          <w:lang w:val="zh-CN"/>
        </w:rPr>
      </w:pPr>
      <w:r>
        <w:t>（17）</w:t>
      </w:r>
      <w:r>
        <w:rPr>
          <w:lang w:val="zh-CN"/>
        </w:rPr>
        <w:t>山东省人民政府令第248号，《山东省扬尘污染防治管理办法》(2012.3)；</w:t>
      </w:r>
    </w:p>
    <w:p>
      <w:pPr>
        <w:ind w:firstLine="560"/>
        <w:rPr>
          <w:lang w:val="zh-CN"/>
        </w:rPr>
      </w:pPr>
      <w:r>
        <w:t>（18）</w:t>
      </w:r>
      <w:r>
        <w:rPr>
          <w:lang w:val="zh-CN"/>
        </w:rPr>
        <w:t>鲁环评函[2013]138号《山东省环境保护厅关于加强建设项目特征污染物监管和绿色生态屏障建设的通知》；</w:t>
      </w:r>
    </w:p>
    <w:p>
      <w:pPr>
        <w:ind w:firstLine="560"/>
        <w:rPr>
          <w:lang w:val="zh-CN"/>
        </w:rPr>
      </w:pPr>
      <w:r>
        <w:rPr>
          <w:lang w:val="zh-CN"/>
        </w:rPr>
        <w:t>（</w:t>
      </w:r>
      <w:r>
        <w:t>19）潍环函【2017】98号《潍坊市环境保护局关于加快未验先投项目清理整顿工作的通知》。</w:t>
      </w:r>
    </w:p>
    <w:p>
      <w:pPr>
        <w:pStyle w:val="6"/>
        <w:ind w:firstLine="0" w:firstLineChars="0"/>
        <w:rPr>
          <w:lang w:val="zh-CN"/>
        </w:rPr>
      </w:pPr>
      <w:bookmarkStart w:id="44" w:name="_Toc18221_WPSOffice_Level2"/>
      <w:bookmarkStart w:id="45" w:name="_Toc16828_WPSOffice_Level2"/>
      <w:r>
        <w:rPr>
          <w:lang w:val="zh-CN"/>
        </w:rPr>
        <w:t>2.3 技术文件依据</w:t>
      </w:r>
      <w:bookmarkEnd w:id="44"/>
      <w:bookmarkEnd w:id="45"/>
    </w:p>
    <w:p>
      <w:pPr>
        <w:ind w:firstLine="560"/>
      </w:pPr>
      <w:r>
        <w:t>（1）</w:t>
      </w:r>
      <w:r>
        <w:rPr>
          <w:rFonts w:hint="eastAsia"/>
        </w:rPr>
        <w:t>潍坊万汇置业有限公司万汇·滨河花园小区</w:t>
      </w:r>
      <w:r>
        <w:t>项目</w:t>
      </w:r>
      <w:r>
        <w:rPr>
          <w:rFonts w:hint="eastAsia"/>
        </w:rPr>
        <w:t>诸城市昌城镇人民政府</w:t>
      </w:r>
      <w:r>
        <w:t>审批意见</w:t>
      </w:r>
      <w:r>
        <w:rPr>
          <w:rFonts w:hint="eastAsia"/>
        </w:rPr>
        <w:t>，2017年8月18日。</w:t>
      </w:r>
    </w:p>
    <w:p>
      <w:pPr>
        <w:ind w:firstLine="560"/>
      </w:pPr>
      <w:r>
        <w:t>（2）山东华一检测有限公司《检测报告》。</w:t>
      </w:r>
    </w:p>
    <w:p>
      <w:pPr>
        <w:ind w:firstLine="560"/>
      </w:pPr>
      <w:r>
        <w:rPr>
          <w:rFonts w:hint="eastAsia"/>
        </w:rPr>
        <w:t>（3）其他技术资料。</w:t>
      </w:r>
    </w:p>
    <w:p>
      <w:pPr>
        <w:pStyle w:val="6"/>
        <w:ind w:firstLine="0" w:firstLineChars="0"/>
        <w:rPr>
          <w:lang w:val="zh-CN"/>
        </w:rPr>
      </w:pPr>
      <w:bookmarkStart w:id="46" w:name="_Toc16960_WPSOffice_Level2"/>
      <w:bookmarkStart w:id="47" w:name="_Toc2285_WPSOffice_Level2"/>
      <w:r>
        <w:rPr>
          <w:lang w:val="zh-CN"/>
        </w:rPr>
        <w:t>2.4 验收评价标准</w:t>
      </w:r>
      <w:bookmarkEnd w:id="46"/>
      <w:bookmarkEnd w:id="47"/>
    </w:p>
    <w:p>
      <w:pPr>
        <w:ind w:firstLine="560"/>
      </w:pPr>
      <w:r>
        <w:rPr>
          <w:rFonts w:hint="eastAsia"/>
        </w:rPr>
        <w:t>（1）</w:t>
      </w:r>
      <w:r>
        <w:t>废</w:t>
      </w:r>
      <w:r>
        <w:rPr>
          <w:rFonts w:hint="eastAsia"/>
        </w:rPr>
        <w:t>气</w:t>
      </w:r>
      <w:r>
        <w:t>执行《</w:t>
      </w:r>
      <w:r>
        <w:rPr>
          <w:rFonts w:hint="eastAsia"/>
        </w:rPr>
        <w:t>恶臭污染物排放标准</w:t>
      </w:r>
      <w:r>
        <w:t>》(GB</w:t>
      </w:r>
      <w:r>
        <w:rPr>
          <w:rFonts w:hint="eastAsia"/>
        </w:rPr>
        <w:t>14554-93</w:t>
      </w:r>
      <w:r>
        <w:t>)</w:t>
      </w:r>
      <w:r>
        <w:rPr>
          <w:rFonts w:hint="eastAsia"/>
        </w:rPr>
        <w:t>二级</w:t>
      </w:r>
      <w:r>
        <w:t>标准；</w:t>
      </w:r>
    </w:p>
    <w:p>
      <w:pPr>
        <w:ind w:firstLine="560"/>
      </w:pPr>
      <w:r>
        <w:rPr>
          <w:rFonts w:hint="eastAsia"/>
        </w:rPr>
        <w:t>（2）</w:t>
      </w:r>
      <w:r>
        <w:t>废水执行《污水排入城镇下水道水质标准》(GB／T 31962－2015)B等级标准；</w:t>
      </w:r>
    </w:p>
    <w:p>
      <w:pPr>
        <w:ind w:firstLine="560"/>
      </w:pPr>
      <w:r>
        <w:rPr>
          <w:rFonts w:hint="eastAsia"/>
        </w:rPr>
        <w:t>（3）</w:t>
      </w:r>
      <w:r>
        <w:t>厂界噪声执行《社会生活环境噪声排放标准》（GB 22337-2008）的2类标准。</w:t>
      </w:r>
    </w:p>
    <w:p>
      <w:pPr>
        <w:ind w:firstLine="560"/>
      </w:pPr>
      <w:r>
        <w:rPr>
          <w:rFonts w:hint="eastAsia"/>
        </w:rPr>
        <w:t>（4）</w:t>
      </w:r>
      <w:r>
        <w:t>《一般工业固体废物贮存、处置场污染物控制标准》（GB18599-2001）及其修改单要求。</w:t>
      </w:r>
    </w:p>
    <w:p>
      <w:pPr>
        <w:ind w:firstLine="560"/>
        <w:sectPr>
          <w:pgSz w:w="11906" w:h="16838"/>
          <w:pgMar w:top="1440" w:right="1800" w:bottom="1440" w:left="1800" w:header="851" w:footer="992" w:gutter="0"/>
          <w:cols w:space="425" w:num="1"/>
          <w:docGrid w:type="lines" w:linePitch="312" w:charSpace="0"/>
        </w:sectPr>
      </w:pPr>
    </w:p>
    <w:p>
      <w:pPr>
        <w:pStyle w:val="5"/>
      </w:pPr>
      <w:bookmarkStart w:id="48" w:name="_Toc22901_WPSOffice_Level1"/>
      <w:bookmarkStart w:id="49" w:name="_Toc26198_WPSOffice_Level1"/>
      <w:r>
        <w:rPr>
          <w:rFonts w:hint="eastAsia"/>
        </w:rPr>
        <w:t>三、</w:t>
      </w:r>
      <w:r>
        <w:t>工程建设情况</w:t>
      </w:r>
      <w:bookmarkEnd w:id="48"/>
      <w:bookmarkEnd w:id="49"/>
    </w:p>
    <w:p>
      <w:pPr>
        <w:pStyle w:val="6"/>
        <w:ind w:firstLine="0" w:firstLineChars="0"/>
      </w:pPr>
      <w:bookmarkStart w:id="50" w:name="_Toc25829_WPSOffice_Level2"/>
      <w:bookmarkStart w:id="51" w:name="_Toc11796_WPSOffice_Level2"/>
      <w:r>
        <w:rPr>
          <w:rFonts w:hint="eastAsia"/>
        </w:rPr>
        <w:t>3.1 项目地理位置</w:t>
      </w:r>
      <w:bookmarkEnd w:id="50"/>
      <w:bookmarkEnd w:id="51"/>
    </w:p>
    <w:p>
      <w:pPr>
        <w:ind w:firstLine="560"/>
        <w:rPr>
          <w:rFonts w:ascii="宋体" w:hAnsi="宋体" w:cs="宋体"/>
        </w:rPr>
      </w:pPr>
      <w:r>
        <w:rPr>
          <w:rFonts w:hint="eastAsia"/>
        </w:rPr>
        <w:t>潍坊万汇置业有限公司万汇·滨河花园小区项目位于诸城市昌城镇得利斯大道西首北侧咸家河岔村东侧，东至咸家河岔村用地，西至咸家河岔村用地，南至得利斯大道，北至咸家河岔村用地；项目地理位置见附图3-1；项目平面布置图</w:t>
      </w:r>
      <w:r>
        <w:rPr>
          <w:rFonts w:hint="eastAsia" w:ascii="宋体" w:hAnsi="宋体" w:cs="宋体"/>
        </w:rPr>
        <w:t>见附图3-2；距离本项目最近的敏感点为西面10米处的咸家河岔村。</w:t>
      </w:r>
    </w:p>
    <w:p>
      <w:pPr>
        <w:ind w:firstLine="560"/>
        <w:jc w:val="center"/>
        <w:rPr>
          <w:rFonts w:ascii="宋体" w:hAnsi="宋体" w:cs="宋体"/>
        </w:rPr>
      </w:pPr>
      <w:r>
        <w:rPr>
          <w:rFonts w:hint="eastAsia" w:ascii="宋体" w:hAnsi="宋体" w:cs="宋体"/>
        </w:rPr>
        <w:t>附图3-1 项目位置图</w:t>
      </w:r>
    </w:p>
    <w:p>
      <w:pPr>
        <w:ind w:firstLine="0" w:firstLineChars="0"/>
      </w:pPr>
      <w:r>
        <w:rPr>
          <w:sz w:val="24"/>
        </w:rPr>
        <mc:AlternateContent>
          <mc:Choice Requires="wps">
            <w:drawing>
              <wp:anchor distT="0" distB="0" distL="114300" distR="114300" simplePos="0" relativeHeight="251659264" behindDoc="0" locked="0" layoutInCell="1" allowOverlap="1">
                <wp:simplePos x="0" y="0"/>
                <wp:positionH relativeFrom="column">
                  <wp:posOffset>3521075</wp:posOffset>
                </wp:positionH>
                <wp:positionV relativeFrom="paragraph">
                  <wp:posOffset>759460</wp:posOffset>
                </wp:positionV>
                <wp:extent cx="1562735" cy="611505"/>
                <wp:effectExtent l="772795" t="6350" r="7620" b="239395"/>
                <wp:wrapNone/>
                <wp:docPr id="7" name="椭圆形标注 7"/>
                <wp:cNvGraphicFramePr/>
                <a:graphic xmlns:a="http://schemas.openxmlformats.org/drawingml/2006/main">
                  <a:graphicData uri="http://schemas.microsoft.com/office/word/2010/wordprocessingShape">
                    <wps:wsp>
                      <wps:cNvSpPr/>
                      <wps:spPr>
                        <a:xfrm>
                          <a:off x="5038090" y="4039235"/>
                          <a:ext cx="1562735" cy="611505"/>
                        </a:xfrm>
                        <a:prstGeom prst="wedgeEllipseCallout">
                          <a:avLst>
                            <a:gd name="adj1" fmla="val -96322"/>
                            <a:gd name="adj2" fmla="val 83852"/>
                          </a:avLst>
                        </a:prstGeom>
                        <a:solidFill>
                          <a:schemeClr val="accent1">
                            <a:alpha val="63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pPr>
                              <w:ind w:firstLine="0" w:firstLineChars="0"/>
                            </w:pPr>
                            <w:r>
                              <w:rPr>
                                <w:rFonts w:hint="eastAsia"/>
                                <w:sz w:val="21"/>
                                <w:szCs w:val="21"/>
                              </w:rPr>
                              <w:t>万汇·滨河花园</w:t>
                            </w:r>
                            <w:r>
                              <w:rPr>
                                <w:rFonts w:hint="eastAsia"/>
                              </w:rPr>
                              <w:t>小区</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3" type="#_x0000_t63" style="position:absolute;left:0pt;margin-left:277.25pt;margin-top:59.8pt;height:48.15pt;width:123.05pt;z-index:251659264;v-text-anchor:middle;mso-width-relative:page;mso-height-relative:page;" fillcolor="#5B9BD5 [3204]" filled="t" stroked="t" coordsize="21600,21600" o:gfxdata="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" adj="-10006,28912">
                <v:fill on="t" opacity="41287f" focussize="0,0"/>
                <v:stroke weight="1pt" color="#41719C [3204]" miterlimit="8" joinstyle="miter"/>
                <v:imagedata o:title=""/>
                <o:lock v:ext="edit" aspectratio="f"/>
                <v:textbox>
                  <w:txbxContent>
                    <w:p>
                      <w:pPr>
                        <w:ind w:firstLine="0" w:firstLineChars="0"/>
                      </w:pPr>
                      <w:r>
                        <w:rPr>
                          <w:rFonts w:hint="eastAsia"/>
                          <w:sz w:val="21"/>
                          <w:szCs w:val="21"/>
                        </w:rPr>
                        <w:t>万汇·滨河花园</w:t>
                      </w:r>
                      <w:r>
                        <w:rPr>
                          <w:rFonts w:hint="eastAsia"/>
                        </w:rPr>
                        <w:t>小区</w:t>
                      </w:r>
                    </w:p>
                  </w:txbxContent>
                </v:textbox>
              </v:shape>
            </w:pict>
          </mc:Fallback>
        </mc:AlternateContent>
      </w:r>
      <w:r>
        <w:rPr>
          <w:sz w:val="24"/>
        </w:rPr>
        <mc:AlternateContent>
          <mc:Choice Requires="wps">
            <w:drawing>
              <wp:anchor distT="0" distB="0" distL="114300" distR="114300" simplePos="0" relativeHeight="251658240" behindDoc="0" locked="0" layoutInCell="1" allowOverlap="1">
                <wp:simplePos x="0" y="0"/>
                <wp:positionH relativeFrom="column">
                  <wp:posOffset>2120265</wp:posOffset>
                </wp:positionH>
                <wp:positionV relativeFrom="paragraph">
                  <wp:posOffset>838835</wp:posOffset>
                </wp:positionV>
                <wp:extent cx="1149985" cy="1544320"/>
                <wp:effectExtent l="84455" t="62865" r="99060" b="69215"/>
                <wp:wrapNone/>
                <wp:docPr id="5" name="矩形 5"/>
                <wp:cNvGraphicFramePr/>
                <a:graphic xmlns:a="http://schemas.openxmlformats.org/drawingml/2006/main">
                  <a:graphicData uri="http://schemas.microsoft.com/office/word/2010/wordprocessingShape">
                    <wps:wsp>
                      <wps:cNvSpPr/>
                      <wps:spPr>
                        <a:xfrm rot="360000">
                          <a:off x="3284220" y="3872230"/>
                          <a:ext cx="1149985" cy="154432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66.95pt;margin-top:66.05pt;height:121.6pt;width:90.55pt;rotation:393216f;z-index:251658240;v-text-anchor:middle;mso-width-relative:page;mso-height-relative:page;" filled="f" stroked="t" coordsize="21600,21600" o:gfxdata="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FgZCo/WAAAACwEAAA8AAAAAAAAAAQAgAAAAIgAAAGRycy9kb3ducmV2LnhtbFBLAQIUABQAAAAI&#10;AIdO4kB2xfTpYQIAAJcEAAAOAAAAAAAAAAEAIAAAACUBAABkcnMvZTJvRG9jLnhtbFBLBQYAAAAA&#10;BgAGAFkBAAD4BQAAAAA=&#10;">
                <v:fill on="f" focussize="0,0"/>
                <v:stroke weight="1pt" color="#FF0000 [3204]" miterlimit="8" joinstyle="miter"/>
                <v:imagedata o:title=""/>
                <o:lock v:ext="edit" aspectratio="f"/>
              </v:rect>
            </w:pict>
          </mc:Fallback>
        </mc:AlternateContent>
      </w:r>
      <w:r>
        <w:drawing>
          <wp:inline distT="0" distB="0" distL="114300" distR="114300">
            <wp:extent cx="5272405" cy="2965450"/>
            <wp:effectExtent l="12700" t="12700" r="29845" b="1270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1"/>
                    <a:stretch>
                      <a:fillRect/>
                    </a:stretch>
                  </pic:blipFill>
                  <pic:spPr>
                    <a:xfrm>
                      <a:off x="0" y="0"/>
                      <a:ext cx="5272405" cy="2965450"/>
                    </a:xfrm>
                    <a:prstGeom prst="rect">
                      <a:avLst/>
                    </a:prstGeom>
                    <a:noFill/>
                    <a:ln w="12700" cmpd="sng">
                      <a:solidFill>
                        <a:schemeClr val="accent1">
                          <a:shade val="50000"/>
                        </a:schemeClr>
                      </a:solidFill>
                      <a:prstDash val="solid"/>
                    </a:ln>
                  </pic:spPr>
                </pic:pic>
              </a:graphicData>
            </a:graphic>
          </wp:inline>
        </w:drawing>
      </w:r>
    </w:p>
    <w:p>
      <w:pPr>
        <w:pStyle w:val="2"/>
        <w:ind w:left="0" w:leftChars="0" w:firstLine="0" w:firstLineChars="0"/>
        <w:jc w:val="both"/>
      </w:pPr>
      <w:r>
        <w:rPr>
          <w:rFonts w:ascii="Times New Roman" w:hAnsi="Times New Roman" w:cs="Times New Roman"/>
        </w:rPr>
        <mc:AlternateContent>
          <mc:Choice Requires="wps">
            <w:drawing>
              <wp:anchor distT="0" distB="0" distL="114300" distR="114300" simplePos="0" relativeHeight="251644928" behindDoc="0" locked="0" layoutInCell="1" allowOverlap="1">
                <wp:simplePos x="0" y="0"/>
                <wp:positionH relativeFrom="column">
                  <wp:posOffset>1419860</wp:posOffset>
                </wp:positionH>
                <wp:positionV relativeFrom="paragraph">
                  <wp:posOffset>7332980</wp:posOffset>
                </wp:positionV>
                <wp:extent cx="2880995" cy="4064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2880995" cy="4064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ind w:firstLine="560"/>
                            </w:pPr>
                            <w:r>
                              <w:rPr>
                                <w:rFonts w:hint="eastAsia"/>
                              </w:rPr>
                              <w:t>图3-2  项目实建竣工测绘图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1.8pt;margin-top:577.4pt;height:32pt;width:226.85pt;z-index:251644928;mso-width-relative:page;mso-height-relative:page;" filled="f" stroked="f" coordsize="21600,21600" o:gfxdata="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G5nkXtwAAAANAQAADwAAAAAAAAABACAAAAAiAAAAZHJzL2Rvd25yZXYueG1sUEsBAhQAFAAAAAgA&#10;h07iQHJV3YchAgAAGgQAAA4AAAAAAAAAAQAgAAAAKwEAAGRycy9lMm9Eb2MueG1sUEsFBgAAAAAG&#10;AAYAWQEAAL4FAAAAAA==&#10;">
                <v:fill on="f" focussize="0,0"/>
                <v:stroke on="f" weight="0.5pt"/>
                <v:imagedata o:title=""/>
                <o:lock v:ext="edit" aspectratio="f"/>
                <v:textbox>
                  <w:txbxContent>
                    <w:p>
                      <w:pPr>
                        <w:ind w:firstLine="560"/>
                      </w:pPr>
                      <w:r>
                        <w:rPr>
                          <w:rFonts w:hint="eastAsia"/>
                        </w:rPr>
                        <w:t>图3-2  项目实建竣工测绘图</w:t>
                      </w:r>
                    </w:p>
                  </w:txbxContent>
                </v:textbox>
              </v:shape>
            </w:pict>
          </mc:Fallback>
        </mc:AlternateContent>
      </w:r>
      <w:r>
        <w:rPr>
          <w:rFonts w:hint="eastAsia"/>
        </w:rPr>
        <w:drawing>
          <wp:inline distT="0" distB="0" distL="114300" distR="114300">
            <wp:extent cx="5269865" cy="7247255"/>
            <wp:effectExtent l="0" t="0" r="6985" b="10795"/>
            <wp:docPr id="6" name="图片 6" descr="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005"/>
                    <pic:cNvPicPr>
                      <a:picLocks noChangeAspect="1"/>
                    </pic:cNvPicPr>
                  </pic:nvPicPr>
                  <pic:blipFill>
                    <a:blip r:embed="rId12"/>
                    <a:stretch>
                      <a:fillRect/>
                    </a:stretch>
                  </pic:blipFill>
                  <pic:spPr>
                    <a:xfrm>
                      <a:off x="0" y="0"/>
                      <a:ext cx="5269865" cy="7247255"/>
                    </a:xfrm>
                    <a:prstGeom prst="rect">
                      <a:avLst/>
                    </a:prstGeom>
                  </pic:spPr>
                </pic:pic>
              </a:graphicData>
            </a:graphic>
          </wp:inline>
        </w:drawing>
      </w:r>
    </w:p>
    <w:p>
      <w:pPr>
        <w:pStyle w:val="2"/>
        <w:ind w:left="560" w:firstLine="480"/>
        <w:sectPr>
          <w:pgSz w:w="11906" w:h="16838"/>
          <w:pgMar w:top="1440" w:right="1800" w:bottom="1440" w:left="1800" w:header="851" w:footer="992" w:gutter="0"/>
          <w:cols w:space="425" w:num="1"/>
          <w:docGrid w:type="lines" w:linePitch="312" w:charSpace="0"/>
        </w:sectPr>
      </w:pPr>
    </w:p>
    <w:p>
      <w:pPr>
        <w:pStyle w:val="6"/>
        <w:ind w:firstLine="0" w:firstLineChars="0"/>
        <w:rPr>
          <w:rFonts w:ascii="Times New Roman" w:hAnsi="Times New Roman" w:cs="Times New Roman"/>
        </w:rPr>
      </w:pPr>
      <w:bookmarkStart w:id="52" w:name="_Toc26500_WPSOffice_Level2"/>
      <w:bookmarkStart w:id="53" w:name="_Toc14259_WPSOffice_Level2"/>
      <w:r>
        <w:rPr>
          <w:rFonts w:hint="eastAsia" w:ascii="Times New Roman" w:hAnsi="Times New Roman" w:cs="Times New Roman"/>
        </w:rPr>
        <w:t>3.2</w:t>
      </w:r>
      <w:r>
        <w:rPr>
          <w:rFonts w:ascii="Times New Roman" w:hAnsi="Times New Roman" w:cs="Times New Roman"/>
        </w:rPr>
        <w:t>建设内容</w:t>
      </w:r>
      <w:bookmarkEnd w:id="52"/>
      <w:bookmarkEnd w:id="53"/>
    </w:p>
    <w:p>
      <w:pPr>
        <w:ind w:firstLine="560"/>
      </w:pPr>
      <w:r>
        <w:rPr>
          <w:rFonts w:hint="eastAsia"/>
        </w:rPr>
        <w:t>该项目规划用地面积为10318平方米，总建筑面积为16932.21平方米。</w:t>
      </w:r>
      <w:r>
        <w:t>主要建筑以住房为主，商业用房为辅。项目建设主要建筑为</w:t>
      </w:r>
      <w:r>
        <w:rPr>
          <w:rFonts w:hint="eastAsia"/>
        </w:rPr>
        <w:t>4</w:t>
      </w:r>
      <w:r>
        <w:t>栋</w:t>
      </w:r>
      <w:r>
        <w:rPr>
          <w:rFonts w:hint="eastAsia"/>
        </w:rPr>
        <w:t>5</w:t>
      </w:r>
      <w:r>
        <w:t>F</w:t>
      </w:r>
      <w:r>
        <w:rPr>
          <w:rFonts w:hint="eastAsia"/>
        </w:rPr>
        <w:t>住宅</w:t>
      </w:r>
      <w:r>
        <w:t>楼，</w:t>
      </w:r>
      <w:r>
        <w:rPr>
          <w:rFonts w:hint="eastAsia"/>
        </w:rPr>
        <w:t>2</w:t>
      </w:r>
      <w:r>
        <w:t>栋</w:t>
      </w:r>
      <w:r>
        <w:rPr>
          <w:rFonts w:hint="eastAsia"/>
        </w:rPr>
        <w:t>6</w:t>
      </w:r>
      <w:r>
        <w:t>F商住楼，</w:t>
      </w:r>
      <w:r>
        <w:rPr>
          <w:rFonts w:hint="eastAsia"/>
        </w:rPr>
        <w:t>总用</w:t>
      </w:r>
      <w:r>
        <w:t>地面积</w:t>
      </w:r>
      <w:r>
        <w:rPr>
          <w:rFonts w:hint="eastAsia"/>
        </w:rPr>
        <w:t>10318</w:t>
      </w:r>
      <w:r>
        <w:t>平方米，规划建筑面积</w:t>
      </w:r>
      <w:r>
        <w:rPr>
          <w:rFonts w:hint="eastAsia"/>
        </w:rPr>
        <w:t>16932.21</w:t>
      </w:r>
      <w:r>
        <w:t>平方米，实际测绘建筑面积</w:t>
      </w:r>
      <w:r>
        <w:rPr>
          <w:rFonts w:hint="eastAsia"/>
        </w:rPr>
        <w:t>16883</w:t>
      </w:r>
      <w:r>
        <w:t>平方米。</w:t>
      </w:r>
    </w:p>
    <w:p>
      <w:pPr>
        <w:ind w:firstLine="560"/>
      </w:pPr>
      <w:r>
        <w:t>本项目主体工程、辅助工程、公用工程、环保工程等主要建设情况见下表。</w:t>
      </w:r>
    </w:p>
    <w:tbl>
      <w:tblPr>
        <w:tblStyle w:val="19"/>
        <w:tblW w:w="853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4"/>
        <w:gridCol w:w="959"/>
        <w:gridCol w:w="2547"/>
        <w:gridCol w:w="2562"/>
        <w:gridCol w:w="17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54" w:type="dxa"/>
            <w:tcBorders>
              <w:bottom w:val="single" w:color="auto" w:sz="4" w:space="0"/>
              <w:tl2br w:val="nil"/>
              <w:tr2bl w:val="nil"/>
            </w:tcBorders>
            <w:vAlign w:val="center"/>
          </w:tcPr>
          <w:p>
            <w:pPr>
              <w:pStyle w:val="26"/>
              <w:rPr>
                <w:sz w:val="22"/>
                <w:szCs w:val="28"/>
              </w:rPr>
            </w:pPr>
            <w:r>
              <w:rPr>
                <w:rFonts w:hint="eastAsia"/>
                <w:sz w:val="22"/>
                <w:szCs w:val="28"/>
              </w:rPr>
              <w:t>工程</w:t>
            </w:r>
          </w:p>
          <w:p>
            <w:pPr>
              <w:pStyle w:val="26"/>
              <w:rPr>
                <w:sz w:val="22"/>
                <w:szCs w:val="28"/>
              </w:rPr>
            </w:pPr>
            <w:r>
              <w:rPr>
                <w:rFonts w:hint="eastAsia"/>
                <w:sz w:val="22"/>
                <w:szCs w:val="28"/>
              </w:rPr>
              <w:t>类别</w:t>
            </w:r>
          </w:p>
        </w:tc>
        <w:tc>
          <w:tcPr>
            <w:tcW w:w="959" w:type="dxa"/>
            <w:tcBorders>
              <w:tl2br w:val="nil"/>
              <w:tr2bl w:val="nil"/>
            </w:tcBorders>
            <w:vAlign w:val="center"/>
          </w:tcPr>
          <w:p>
            <w:pPr>
              <w:pStyle w:val="26"/>
              <w:rPr>
                <w:sz w:val="22"/>
                <w:szCs w:val="28"/>
              </w:rPr>
            </w:pPr>
            <w:r>
              <w:rPr>
                <w:rFonts w:hint="eastAsia"/>
                <w:sz w:val="22"/>
                <w:szCs w:val="28"/>
              </w:rPr>
              <w:t>项目内容</w:t>
            </w:r>
          </w:p>
        </w:tc>
        <w:tc>
          <w:tcPr>
            <w:tcW w:w="2547" w:type="dxa"/>
            <w:tcBorders>
              <w:tl2br w:val="nil"/>
              <w:tr2bl w:val="nil"/>
            </w:tcBorders>
            <w:vAlign w:val="center"/>
          </w:tcPr>
          <w:p>
            <w:pPr>
              <w:pStyle w:val="26"/>
              <w:rPr>
                <w:sz w:val="22"/>
                <w:szCs w:val="28"/>
              </w:rPr>
            </w:pPr>
            <w:r>
              <w:rPr>
                <w:rFonts w:hint="eastAsia"/>
                <w:sz w:val="22"/>
                <w:szCs w:val="28"/>
              </w:rPr>
              <w:t>规划规模或能力</w:t>
            </w:r>
          </w:p>
        </w:tc>
        <w:tc>
          <w:tcPr>
            <w:tcW w:w="2562" w:type="dxa"/>
            <w:tcBorders>
              <w:tl2br w:val="nil"/>
              <w:tr2bl w:val="nil"/>
            </w:tcBorders>
            <w:vAlign w:val="center"/>
          </w:tcPr>
          <w:p>
            <w:pPr>
              <w:pStyle w:val="26"/>
              <w:rPr>
                <w:sz w:val="22"/>
                <w:szCs w:val="28"/>
              </w:rPr>
            </w:pPr>
            <w:r>
              <w:rPr>
                <w:rFonts w:hint="eastAsia"/>
                <w:sz w:val="22"/>
                <w:szCs w:val="28"/>
              </w:rPr>
              <w:t>实际建设情况</w:t>
            </w:r>
          </w:p>
        </w:tc>
        <w:tc>
          <w:tcPr>
            <w:tcW w:w="1710" w:type="dxa"/>
            <w:tcBorders>
              <w:tl2br w:val="nil"/>
              <w:tr2bl w:val="nil"/>
            </w:tcBorders>
            <w:vAlign w:val="center"/>
          </w:tcPr>
          <w:p>
            <w:pPr>
              <w:pStyle w:val="26"/>
              <w:rPr>
                <w:sz w:val="22"/>
                <w:szCs w:val="28"/>
              </w:rPr>
            </w:pPr>
            <w:r>
              <w:rPr>
                <w:rFonts w:hint="eastAsia"/>
                <w:sz w:val="22"/>
                <w:szCs w:val="28"/>
              </w:rPr>
              <w:t>总面积增减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54" w:type="dxa"/>
            <w:vMerge w:val="restart"/>
            <w:tcBorders>
              <w:top w:val="single" w:color="auto" w:sz="4" w:space="0"/>
              <w:bottom w:val="single" w:color="auto" w:sz="4" w:space="0"/>
              <w:right w:val="single" w:color="auto" w:sz="4" w:space="0"/>
              <w:tl2br w:val="nil"/>
              <w:tr2bl w:val="nil"/>
            </w:tcBorders>
            <w:vAlign w:val="center"/>
          </w:tcPr>
          <w:p>
            <w:pPr>
              <w:pStyle w:val="26"/>
              <w:rPr>
                <w:sz w:val="22"/>
                <w:szCs w:val="28"/>
              </w:rPr>
            </w:pPr>
            <w:r>
              <w:rPr>
                <w:rFonts w:hint="eastAsia"/>
                <w:sz w:val="22"/>
                <w:szCs w:val="28"/>
              </w:rPr>
              <w:t>主体</w:t>
            </w:r>
          </w:p>
          <w:p>
            <w:pPr>
              <w:pStyle w:val="26"/>
              <w:rPr>
                <w:sz w:val="22"/>
                <w:szCs w:val="28"/>
              </w:rPr>
            </w:pPr>
            <w:r>
              <w:rPr>
                <w:rFonts w:hint="eastAsia"/>
                <w:sz w:val="22"/>
                <w:szCs w:val="28"/>
              </w:rPr>
              <w:t>工程</w:t>
            </w:r>
          </w:p>
        </w:tc>
        <w:tc>
          <w:tcPr>
            <w:tcW w:w="959" w:type="dxa"/>
            <w:tcBorders>
              <w:left w:val="single" w:color="auto" w:sz="4" w:space="0"/>
              <w:tl2br w:val="nil"/>
              <w:tr2bl w:val="nil"/>
            </w:tcBorders>
            <w:vAlign w:val="center"/>
          </w:tcPr>
          <w:p>
            <w:pPr>
              <w:pStyle w:val="26"/>
              <w:rPr>
                <w:sz w:val="22"/>
                <w:szCs w:val="28"/>
              </w:rPr>
            </w:pPr>
            <w:r>
              <w:rPr>
                <w:rFonts w:hint="eastAsia"/>
                <w:sz w:val="22"/>
                <w:szCs w:val="28"/>
              </w:rPr>
              <w:t>住宅楼</w:t>
            </w:r>
          </w:p>
        </w:tc>
        <w:tc>
          <w:tcPr>
            <w:tcW w:w="2547" w:type="dxa"/>
            <w:tcBorders>
              <w:tl2br w:val="nil"/>
              <w:tr2bl w:val="nil"/>
            </w:tcBorders>
            <w:vAlign w:val="center"/>
          </w:tcPr>
          <w:p>
            <w:pPr>
              <w:pStyle w:val="26"/>
              <w:rPr>
                <w:sz w:val="22"/>
                <w:szCs w:val="28"/>
              </w:rPr>
            </w:pPr>
            <w:r>
              <w:rPr>
                <w:rFonts w:hint="eastAsia"/>
                <w:sz w:val="22"/>
                <w:szCs w:val="28"/>
              </w:rPr>
              <w:t>5层4栋，建筑面积11046.58平方米</w:t>
            </w:r>
          </w:p>
        </w:tc>
        <w:tc>
          <w:tcPr>
            <w:tcW w:w="2562" w:type="dxa"/>
            <w:tcBorders>
              <w:tl2br w:val="nil"/>
              <w:tr2bl w:val="nil"/>
            </w:tcBorders>
            <w:vAlign w:val="center"/>
          </w:tcPr>
          <w:p>
            <w:pPr>
              <w:pStyle w:val="26"/>
              <w:rPr>
                <w:sz w:val="22"/>
                <w:szCs w:val="28"/>
              </w:rPr>
            </w:pPr>
            <w:r>
              <w:rPr>
                <w:rFonts w:hint="eastAsia"/>
                <w:sz w:val="22"/>
                <w:szCs w:val="28"/>
              </w:rPr>
              <w:t>5层4栋，建筑面积11232平方米</w:t>
            </w:r>
          </w:p>
        </w:tc>
        <w:tc>
          <w:tcPr>
            <w:tcW w:w="1710" w:type="dxa"/>
            <w:tcBorders>
              <w:tl2br w:val="nil"/>
              <w:tr2bl w:val="nil"/>
            </w:tcBorders>
            <w:vAlign w:val="center"/>
          </w:tcPr>
          <w:p>
            <w:pPr>
              <w:pStyle w:val="26"/>
              <w:rPr>
                <w:sz w:val="22"/>
                <w:szCs w:val="28"/>
              </w:rPr>
            </w:pPr>
            <w:r>
              <w:rPr>
                <w:rFonts w:hint="eastAsia"/>
                <w:sz w:val="22"/>
                <w:szCs w:val="28"/>
              </w:rPr>
              <w:t>+185.42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54" w:type="dxa"/>
            <w:vMerge w:val="continue"/>
            <w:tcBorders>
              <w:top w:val="single" w:color="auto" w:sz="4" w:space="0"/>
              <w:bottom w:val="single" w:color="auto" w:sz="4" w:space="0"/>
              <w:right w:val="single" w:color="auto" w:sz="4" w:space="0"/>
              <w:tl2br w:val="nil"/>
              <w:tr2bl w:val="nil"/>
            </w:tcBorders>
            <w:vAlign w:val="center"/>
          </w:tcPr>
          <w:p>
            <w:pPr>
              <w:pStyle w:val="26"/>
              <w:rPr>
                <w:sz w:val="22"/>
                <w:szCs w:val="28"/>
              </w:rPr>
            </w:pPr>
          </w:p>
        </w:tc>
        <w:tc>
          <w:tcPr>
            <w:tcW w:w="959" w:type="dxa"/>
            <w:tcBorders>
              <w:left w:val="single" w:color="auto" w:sz="4" w:space="0"/>
              <w:tl2br w:val="nil"/>
              <w:tr2bl w:val="nil"/>
            </w:tcBorders>
            <w:vAlign w:val="center"/>
          </w:tcPr>
          <w:p>
            <w:pPr>
              <w:pStyle w:val="26"/>
              <w:rPr>
                <w:sz w:val="22"/>
                <w:szCs w:val="28"/>
              </w:rPr>
            </w:pPr>
            <w:r>
              <w:rPr>
                <w:rFonts w:hint="eastAsia"/>
                <w:sz w:val="22"/>
                <w:szCs w:val="28"/>
              </w:rPr>
              <w:t>商住楼</w:t>
            </w:r>
          </w:p>
        </w:tc>
        <w:tc>
          <w:tcPr>
            <w:tcW w:w="2547" w:type="dxa"/>
            <w:tcBorders>
              <w:tl2br w:val="nil"/>
              <w:tr2bl w:val="nil"/>
            </w:tcBorders>
            <w:vAlign w:val="center"/>
          </w:tcPr>
          <w:p>
            <w:pPr>
              <w:pStyle w:val="26"/>
              <w:rPr>
                <w:sz w:val="22"/>
                <w:szCs w:val="28"/>
              </w:rPr>
            </w:pPr>
            <w:r>
              <w:rPr>
                <w:rFonts w:hint="eastAsia"/>
                <w:sz w:val="22"/>
                <w:szCs w:val="28"/>
              </w:rPr>
              <w:t>6层2栋，建筑面积5778.43平方米</w:t>
            </w:r>
          </w:p>
        </w:tc>
        <w:tc>
          <w:tcPr>
            <w:tcW w:w="2562" w:type="dxa"/>
            <w:tcBorders>
              <w:tl2br w:val="nil"/>
              <w:tr2bl w:val="nil"/>
            </w:tcBorders>
            <w:vAlign w:val="center"/>
          </w:tcPr>
          <w:p>
            <w:pPr>
              <w:pStyle w:val="26"/>
              <w:rPr>
                <w:sz w:val="22"/>
                <w:szCs w:val="28"/>
              </w:rPr>
            </w:pPr>
            <w:r>
              <w:rPr>
                <w:rFonts w:hint="eastAsia"/>
                <w:sz w:val="22"/>
                <w:szCs w:val="28"/>
              </w:rPr>
              <w:t>6层2栋，建筑面积5577平方米</w:t>
            </w:r>
          </w:p>
        </w:tc>
        <w:tc>
          <w:tcPr>
            <w:tcW w:w="1710" w:type="dxa"/>
            <w:tcBorders>
              <w:tl2br w:val="nil"/>
              <w:tr2bl w:val="nil"/>
            </w:tcBorders>
            <w:vAlign w:val="center"/>
          </w:tcPr>
          <w:p>
            <w:pPr>
              <w:pStyle w:val="26"/>
              <w:rPr>
                <w:sz w:val="22"/>
                <w:szCs w:val="28"/>
              </w:rPr>
            </w:pPr>
            <w:r>
              <w:rPr>
                <w:rFonts w:hint="eastAsia"/>
                <w:sz w:val="22"/>
                <w:szCs w:val="28"/>
              </w:rPr>
              <w:t>-201.43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54" w:type="dxa"/>
            <w:vMerge w:val="continue"/>
            <w:tcBorders>
              <w:top w:val="single" w:color="auto" w:sz="4" w:space="0"/>
              <w:bottom w:val="single" w:color="auto" w:sz="4" w:space="0"/>
              <w:right w:val="single" w:color="auto" w:sz="4" w:space="0"/>
              <w:tl2br w:val="nil"/>
              <w:tr2bl w:val="nil"/>
            </w:tcBorders>
            <w:vAlign w:val="center"/>
          </w:tcPr>
          <w:p>
            <w:pPr>
              <w:pStyle w:val="26"/>
              <w:rPr>
                <w:sz w:val="22"/>
                <w:szCs w:val="28"/>
              </w:rPr>
            </w:pPr>
          </w:p>
        </w:tc>
        <w:tc>
          <w:tcPr>
            <w:tcW w:w="959" w:type="dxa"/>
            <w:tcBorders>
              <w:left w:val="single" w:color="auto" w:sz="4" w:space="0"/>
              <w:tl2br w:val="nil"/>
              <w:tr2bl w:val="nil"/>
            </w:tcBorders>
            <w:vAlign w:val="center"/>
          </w:tcPr>
          <w:p>
            <w:pPr>
              <w:pStyle w:val="26"/>
              <w:rPr>
                <w:sz w:val="22"/>
                <w:szCs w:val="28"/>
              </w:rPr>
            </w:pPr>
            <w:r>
              <w:rPr>
                <w:rFonts w:hint="eastAsia"/>
                <w:sz w:val="22"/>
                <w:szCs w:val="28"/>
              </w:rPr>
              <w:t>物业管理用房</w:t>
            </w:r>
          </w:p>
        </w:tc>
        <w:tc>
          <w:tcPr>
            <w:tcW w:w="2547" w:type="dxa"/>
            <w:tcBorders>
              <w:tl2br w:val="nil"/>
              <w:tr2bl w:val="nil"/>
            </w:tcBorders>
            <w:vAlign w:val="center"/>
          </w:tcPr>
          <w:p>
            <w:pPr>
              <w:pStyle w:val="26"/>
              <w:rPr>
                <w:sz w:val="22"/>
                <w:szCs w:val="28"/>
              </w:rPr>
            </w:pPr>
            <w:r>
              <w:rPr>
                <w:rFonts w:hint="eastAsia"/>
                <w:sz w:val="22"/>
                <w:szCs w:val="28"/>
              </w:rPr>
              <w:t>一处，建筑面积107.2平方米</w:t>
            </w:r>
          </w:p>
        </w:tc>
        <w:tc>
          <w:tcPr>
            <w:tcW w:w="2562" w:type="dxa"/>
            <w:tcBorders>
              <w:tl2br w:val="nil"/>
              <w:tr2bl w:val="nil"/>
            </w:tcBorders>
            <w:vAlign w:val="center"/>
          </w:tcPr>
          <w:p>
            <w:pPr>
              <w:pStyle w:val="26"/>
              <w:rPr>
                <w:sz w:val="22"/>
                <w:szCs w:val="28"/>
              </w:rPr>
            </w:pPr>
            <w:r>
              <w:rPr>
                <w:rFonts w:hint="eastAsia"/>
                <w:sz w:val="22"/>
                <w:szCs w:val="28"/>
              </w:rPr>
              <w:t>一处，建筑面积74平方米</w:t>
            </w:r>
          </w:p>
        </w:tc>
        <w:tc>
          <w:tcPr>
            <w:tcW w:w="1710" w:type="dxa"/>
            <w:tcBorders>
              <w:tl2br w:val="nil"/>
              <w:tr2bl w:val="nil"/>
            </w:tcBorders>
            <w:vAlign w:val="center"/>
          </w:tcPr>
          <w:p>
            <w:pPr>
              <w:pStyle w:val="26"/>
              <w:rPr>
                <w:sz w:val="22"/>
                <w:szCs w:val="28"/>
              </w:rPr>
            </w:pPr>
            <w:r>
              <w:rPr>
                <w:rFonts w:hint="eastAsia"/>
                <w:sz w:val="22"/>
                <w:szCs w:val="28"/>
              </w:rPr>
              <w:t>-33.2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54" w:type="dxa"/>
            <w:vMerge w:val="continue"/>
            <w:tcBorders>
              <w:top w:val="single" w:color="auto" w:sz="4" w:space="0"/>
              <w:bottom w:val="single" w:color="auto" w:sz="4" w:space="0"/>
              <w:right w:val="single" w:color="auto" w:sz="4" w:space="0"/>
              <w:tl2br w:val="nil"/>
              <w:tr2bl w:val="nil"/>
            </w:tcBorders>
            <w:vAlign w:val="center"/>
          </w:tcPr>
          <w:p>
            <w:pPr>
              <w:pStyle w:val="26"/>
              <w:rPr>
                <w:sz w:val="22"/>
                <w:szCs w:val="28"/>
              </w:rPr>
            </w:pPr>
          </w:p>
        </w:tc>
        <w:tc>
          <w:tcPr>
            <w:tcW w:w="959" w:type="dxa"/>
            <w:tcBorders>
              <w:left w:val="single" w:color="auto" w:sz="4" w:space="0"/>
              <w:tl2br w:val="nil"/>
              <w:tr2bl w:val="nil"/>
            </w:tcBorders>
            <w:vAlign w:val="center"/>
          </w:tcPr>
          <w:p>
            <w:pPr>
              <w:pStyle w:val="26"/>
              <w:rPr>
                <w:sz w:val="22"/>
                <w:szCs w:val="28"/>
              </w:rPr>
            </w:pPr>
            <w:r>
              <w:rPr>
                <w:rFonts w:hint="eastAsia"/>
                <w:sz w:val="22"/>
                <w:szCs w:val="28"/>
              </w:rPr>
              <w:t>公用建筑</w:t>
            </w:r>
          </w:p>
        </w:tc>
        <w:tc>
          <w:tcPr>
            <w:tcW w:w="2547" w:type="dxa"/>
            <w:tcBorders>
              <w:tl2br w:val="nil"/>
              <w:tr2bl w:val="nil"/>
            </w:tcBorders>
            <w:vAlign w:val="center"/>
          </w:tcPr>
          <w:p>
            <w:pPr>
              <w:pStyle w:val="26"/>
              <w:rPr>
                <w:sz w:val="22"/>
                <w:szCs w:val="28"/>
              </w:rPr>
            </w:pPr>
            <w:r>
              <w:rPr>
                <w:rFonts w:hint="eastAsia"/>
                <w:sz w:val="22"/>
                <w:szCs w:val="28"/>
              </w:rPr>
              <w:t>包括变配电室、换热站、燃气表室</w:t>
            </w:r>
          </w:p>
        </w:tc>
        <w:tc>
          <w:tcPr>
            <w:tcW w:w="2562" w:type="dxa"/>
            <w:tcBorders>
              <w:tl2br w:val="nil"/>
              <w:tr2bl w:val="nil"/>
            </w:tcBorders>
            <w:vAlign w:val="center"/>
          </w:tcPr>
          <w:p>
            <w:pPr>
              <w:pStyle w:val="26"/>
              <w:rPr>
                <w:sz w:val="22"/>
                <w:szCs w:val="28"/>
              </w:rPr>
            </w:pPr>
            <w:r>
              <w:rPr>
                <w:rFonts w:hint="eastAsia"/>
                <w:sz w:val="22"/>
                <w:szCs w:val="28"/>
              </w:rPr>
              <w:t>无变化</w:t>
            </w:r>
          </w:p>
        </w:tc>
        <w:tc>
          <w:tcPr>
            <w:tcW w:w="1710" w:type="dxa"/>
            <w:tcBorders>
              <w:tl2br w:val="nil"/>
              <w:tr2bl w:val="nil"/>
            </w:tcBorders>
            <w:vAlign w:val="center"/>
          </w:tcPr>
          <w:p>
            <w:pPr>
              <w:pStyle w:val="26"/>
              <w:jc w:val="center"/>
              <w:rPr>
                <w:sz w:val="22"/>
                <w:szCs w:val="28"/>
              </w:rPr>
            </w:pPr>
            <w:r>
              <w:rPr>
                <w:rFonts w:hint="eastAsia"/>
                <w:sz w:val="22"/>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54" w:type="dxa"/>
            <w:vMerge w:val="restart"/>
            <w:tcBorders>
              <w:top w:val="single" w:color="auto" w:sz="4" w:space="0"/>
              <w:bottom w:val="single" w:color="auto" w:sz="4" w:space="0"/>
              <w:tl2br w:val="nil"/>
              <w:tr2bl w:val="nil"/>
            </w:tcBorders>
            <w:vAlign w:val="center"/>
          </w:tcPr>
          <w:p>
            <w:pPr>
              <w:pStyle w:val="26"/>
              <w:rPr>
                <w:sz w:val="22"/>
                <w:szCs w:val="28"/>
              </w:rPr>
            </w:pPr>
            <w:r>
              <w:rPr>
                <w:rFonts w:hint="eastAsia"/>
                <w:sz w:val="22"/>
                <w:szCs w:val="28"/>
              </w:rPr>
              <w:t>公用</w:t>
            </w:r>
          </w:p>
          <w:p>
            <w:pPr>
              <w:pStyle w:val="26"/>
              <w:rPr>
                <w:sz w:val="22"/>
                <w:szCs w:val="28"/>
              </w:rPr>
            </w:pPr>
            <w:r>
              <w:rPr>
                <w:rFonts w:hint="eastAsia"/>
                <w:sz w:val="22"/>
                <w:szCs w:val="28"/>
              </w:rPr>
              <w:t>工程</w:t>
            </w:r>
          </w:p>
        </w:tc>
        <w:tc>
          <w:tcPr>
            <w:tcW w:w="959" w:type="dxa"/>
            <w:tcBorders>
              <w:tl2br w:val="nil"/>
              <w:tr2bl w:val="nil"/>
            </w:tcBorders>
            <w:vAlign w:val="center"/>
          </w:tcPr>
          <w:p>
            <w:pPr>
              <w:pStyle w:val="26"/>
              <w:rPr>
                <w:sz w:val="22"/>
                <w:szCs w:val="28"/>
              </w:rPr>
            </w:pPr>
            <w:r>
              <w:rPr>
                <w:rFonts w:hint="eastAsia"/>
                <w:sz w:val="22"/>
                <w:szCs w:val="28"/>
              </w:rPr>
              <w:t>供电</w:t>
            </w:r>
          </w:p>
        </w:tc>
        <w:tc>
          <w:tcPr>
            <w:tcW w:w="2547" w:type="dxa"/>
            <w:tcBorders>
              <w:tl2br w:val="nil"/>
              <w:tr2bl w:val="nil"/>
            </w:tcBorders>
            <w:vAlign w:val="center"/>
          </w:tcPr>
          <w:p>
            <w:pPr>
              <w:pStyle w:val="26"/>
              <w:rPr>
                <w:sz w:val="22"/>
                <w:szCs w:val="28"/>
              </w:rPr>
            </w:pPr>
            <w:r>
              <w:rPr>
                <w:rFonts w:hint="eastAsia"/>
                <w:sz w:val="22"/>
                <w:szCs w:val="28"/>
              </w:rPr>
              <w:t>市政电力电缆供电</w:t>
            </w:r>
          </w:p>
        </w:tc>
        <w:tc>
          <w:tcPr>
            <w:tcW w:w="2562" w:type="dxa"/>
            <w:tcBorders>
              <w:tl2br w:val="nil"/>
              <w:tr2bl w:val="nil"/>
            </w:tcBorders>
            <w:vAlign w:val="center"/>
          </w:tcPr>
          <w:p>
            <w:pPr>
              <w:pStyle w:val="26"/>
              <w:rPr>
                <w:sz w:val="22"/>
                <w:szCs w:val="28"/>
              </w:rPr>
            </w:pPr>
            <w:r>
              <w:rPr>
                <w:rFonts w:hint="eastAsia"/>
                <w:sz w:val="22"/>
                <w:szCs w:val="28"/>
              </w:rPr>
              <w:t>无变化</w:t>
            </w:r>
          </w:p>
        </w:tc>
        <w:tc>
          <w:tcPr>
            <w:tcW w:w="1710" w:type="dxa"/>
            <w:tcBorders>
              <w:tl2br w:val="nil"/>
              <w:tr2bl w:val="nil"/>
            </w:tcBorders>
            <w:vAlign w:val="center"/>
          </w:tcPr>
          <w:p>
            <w:pPr>
              <w:pStyle w:val="26"/>
              <w:jc w:val="center"/>
              <w:rPr>
                <w:sz w:val="22"/>
                <w:szCs w:val="28"/>
              </w:rPr>
            </w:pPr>
            <w:r>
              <w:rPr>
                <w:rFonts w:hint="eastAsia"/>
                <w:sz w:val="22"/>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54" w:type="dxa"/>
            <w:vMerge w:val="continue"/>
            <w:tcBorders>
              <w:top w:val="single" w:color="auto" w:sz="4" w:space="0"/>
              <w:bottom w:val="single" w:color="auto" w:sz="4" w:space="0"/>
              <w:tl2br w:val="nil"/>
              <w:tr2bl w:val="nil"/>
            </w:tcBorders>
            <w:vAlign w:val="center"/>
          </w:tcPr>
          <w:p>
            <w:pPr>
              <w:pStyle w:val="26"/>
              <w:rPr>
                <w:sz w:val="22"/>
                <w:szCs w:val="28"/>
              </w:rPr>
            </w:pPr>
          </w:p>
        </w:tc>
        <w:tc>
          <w:tcPr>
            <w:tcW w:w="959" w:type="dxa"/>
            <w:tcBorders>
              <w:tl2br w:val="nil"/>
              <w:tr2bl w:val="nil"/>
            </w:tcBorders>
            <w:vAlign w:val="center"/>
          </w:tcPr>
          <w:p>
            <w:pPr>
              <w:pStyle w:val="26"/>
              <w:rPr>
                <w:sz w:val="22"/>
                <w:szCs w:val="28"/>
              </w:rPr>
            </w:pPr>
            <w:r>
              <w:rPr>
                <w:rFonts w:hint="eastAsia"/>
                <w:sz w:val="22"/>
                <w:szCs w:val="28"/>
              </w:rPr>
              <w:t>供水</w:t>
            </w:r>
          </w:p>
        </w:tc>
        <w:tc>
          <w:tcPr>
            <w:tcW w:w="2547" w:type="dxa"/>
            <w:tcBorders>
              <w:tl2br w:val="nil"/>
              <w:tr2bl w:val="nil"/>
            </w:tcBorders>
            <w:vAlign w:val="center"/>
          </w:tcPr>
          <w:p>
            <w:pPr>
              <w:pStyle w:val="26"/>
              <w:rPr>
                <w:sz w:val="22"/>
                <w:szCs w:val="28"/>
              </w:rPr>
            </w:pPr>
            <w:r>
              <w:rPr>
                <w:rFonts w:hint="eastAsia"/>
                <w:sz w:val="22"/>
                <w:szCs w:val="28"/>
              </w:rPr>
              <w:t>诸城市自来水公司给水管网</w:t>
            </w:r>
          </w:p>
        </w:tc>
        <w:tc>
          <w:tcPr>
            <w:tcW w:w="2562" w:type="dxa"/>
            <w:tcBorders>
              <w:tl2br w:val="nil"/>
              <w:tr2bl w:val="nil"/>
            </w:tcBorders>
            <w:vAlign w:val="center"/>
          </w:tcPr>
          <w:p>
            <w:pPr>
              <w:pStyle w:val="26"/>
              <w:rPr>
                <w:sz w:val="22"/>
                <w:szCs w:val="28"/>
              </w:rPr>
            </w:pPr>
            <w:r>
              <w:rPr>
                <w:rFonts w:hint="eastAsia"/>
                <w:sz w:val="22"/>
                <w:szCs w:val="28"/>
              </w:rPr>
              <w:t>无变化</w:t>
            </w:r>
          </w:p>
        </w:tc>
        <w:tc>
          <w:tcPr>
            <w:tcW w:w="1710" w:type="dxa"/>
            <w:tcBorders>
              <w:tl2br w:val="nil"/>
              <w:tr2bl w:val="nil"/>
            </w:tcBorders>
            <w:vAlign w:val="center"/>
          </w:tcPr>
          <w:p>
            <w:pPr>
              <w:pStyle w:val="26"/>
              <w:jc w:val="center"/>
              <w:rPr>
                <w:sz w:val="22"/>
                <w:szCs w:val="28"/>
              </w:rPr>
            </w:pPr>
            <w:r>
              <w:rPr>
                <w:rFonts w:hint="eastAsia"/>
                <w:sz w:val="22"/>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54" w:type="dxa"/>
            <w:vMerge w:val="continue"/>
            <w:tcBorders>
              <w:top w:val="single" w:color="auto" w:sz="4" w:space="0"/>
              <w:bottom w:val="single" w:color="auto" w:sz="4" w:space="0"/>
              <w:tl2br w:val="nil"/>
              <w:tr2bl w:val="nil"/>
            </w:tcBorders>
            <w:vAlign w:val="center"/>
          </w:tcPr>
          <w:p>
            <w:pPr>
              <w:pStyle w:val="26"/>
              <w:rPr>
                <w:sz w:val="22"/>
                <w:szCs w:val="28"/>
              </w:rPr>
            </w:pPr>
          </w:p>
        </w:tc>
        <w:tc>
          <w:tcPr>
            <w:tcW w:w="959" w:type="dxa"/>
            <w:tcBorders>
              <w:tl2br w:val="nil"/>
              <w:tr2bl w:val="nil"/>
            </w:tcBorders>
            <w:vAlign w:val="center"/>
          </w:tcPr>
          <w:p>
            <w:pPr>
              <w:pStyle w:val="26"/>
              <w:rPr>
                <w:sz w:val="22"/>
                <w:szCs w:val="28"/>
              </w:rPr>
            </w:pPr>
            <w:r>
              <w:rPr>
                <w:rFonts w:hint="eastAsia"/>
                <w:sz w:val="22"/>
                <w:szCs w:val="28"/>
              </w:rPr>
              <w:t>供暖</w:t>
            </w:r>
          </w:p>
        </w:tc>
        <w:tc>
          <w:tcPr>
            <w:tcW w:w="2547" w:type="dxa"/>
            <w:tcBorders>
              <w:tl2br w:val="nil"/>
              <w:tr2bl w:val="nil"/>
            </w:tcBorders>
            <w:vAlign w:val="center"/>
          </w:tcPr>
          <w:p>
            <w:pPr>
              <w:pStyle w:val="26"/>
              <w:rPr>
                <w:sz w:val="22"/>
                <w:szCs w:val="28"/>
              </w:rPr>
            </w:pPr>
            <w:r>
              <w:rPr>
                <w:rFonts w:hint="eastAsia"/>
                <w:sz w:val="22"/>
                <w:szCs w:val="28"/>
              </w:rPr>
              <w:t>设换热站一处</w:t>
            </w:r>
          </w:p>
        </w:tc>
        <w:tc>
          <w:tcPr>
            <w:tcW w:w="2562" w:type="dxa"/>
            <w:tcBorders>
              <w:tl2br w:val="nil"/>
              <w:tr2bl w:val="nil"/>
            </w:tcBorders>
            <w:vAlign w:val="center"/>
          </w:tcPr>
          <w:p>
            <w:pPr>
              <w:pStyle w:val="26"/>
              <w:rPr>
                <w:sz w:val="22"/>
                <w:szCs w:val="28"/>
              </w:rPr>
            </w:pPr>
            <w:r>
              <w:rPr>
                <w:rFonts w:hint="eastAsia"/>
                <w:sz w:val="22"/>
                <w:szCs w:val="28"/>
              </w:rPr>
              <w:t>无变化</w:t>
            </w:r>
          </w:p>
        </w:tc>
        <w:tc>
          <w:tcPr>
            <w:tcW w:w="1710" w:type="dxa"/>
            <w:tcBorders>
              <w:tl2br w:val="nil"/>
              <w:tr2bl w:val="nil"/>
            </w:tcBorders>
            <w:vAlign w:val="center"/>
          </w:tcPr>
          <w:p>
            <w:pPr>
              <w:pStyle w:val="26"/>
              <w:jc w:val="center"/>
              <w:rPr>
                <w:sz w:val="22"/>
                <w:szCs w:val="28"/>
              </w:rPr>
            </w:pPr>
            <w:r>
              <w:rPr>
                <w:rFonts w:hint="eastAsia"/>
                <w:sz w:val="22"/>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54" w:type="dxa"/>
            <w:vMerge w:val="continue"/>
            <w:tcBorders>
              <w:top w:val="single" w:color="auto" w:sz="4" w:space="0"/>
              <w:bottom w:val="single" w:color="auto" w:sz="4" w:space="0"/>
              <w:tl2br w:val="nil"/>
              <w:tr2bl w:val="nil"/>
            </w:tcBorders>
            <w:vAlign w:val="center"/>
          </w:tcPr>
          <w:p>
            <w:pPr>
              <w:pStyle w:val="26"/>
              <w:rPr>
                <w:sz w:val="22"/>
                <w:szCs w:val="28"/>
              </w:rPr>
            </w:pPr>
          </w:p>
        </w:tc>
        <w:tc>
          <w:tcPr>
            <w:tcW w:w="959" w:type="dxa"/>
            <w:tcBorders>
              <w:tl2br w:val="nil"/>
              <w:tr2bl w:val="nil"/>
            </w:tcBorders>
            <w:vAlign w:val="center"/>
          </w:tcPr>
          <w:p>
            <w:pPr>
              <w:pStyle w:val="26"/>
              <w:rPr>
                <w:sz w:val="22"/>
                <w:szCs w:val="28"/>
              </w:rPr>
            </w:pPr>
            <w:r>
              <w:rPr>
                <w:rFonts w:hint="eastAsia"/>
                <w:sz w:val="22"/>
                <w:szCs w:val="28"/>
              </w:rPr>
              <w:t>供气</w:t>
            </w:r>
          </w:p>
        </w:tc>
        <w:tc>
          <w:tcPr>
            <w:tcW w:w="2547" w:type="dxa"/>
            <w:tcBorders>
              <w:tl2br w:val="nil"/>
              <w:tr2bl w:val="nil"/>
            </w:tcBorders>
            <w:vAlign w:val="center"/>
          </w:tcPr>
          <w:p>
            <w:pPr>
              <w:pStyle w:val="26"/>
              <w:rPr>
                <w:sz w:val="22"/>
                <w:szCs w:val="28"/>
              </w:rPr>
            </w:pPr>
            <w:r>
              <w:rPr>
                <w:rFonts w:hint="eastAsia"/>
                <w:sz w:val="22"/>
                <w:szCs w:val="28"/>
              </w:rPr>
              <w:t>天然气，由城市天然气管网接入</w:t>
            </w:r>
          </w:p>
        </w:tc>
        <w:tc>
          <w:tcPr>
            <w:tcW w:w="2562" w:type="dxa"/>
            <w:tcBorders>
              <w:tl2br w:val="nil"/>
              <w:tr2bl w:val="nil"/>
            </w:tcBorders>
            <w:vAlign w:val="center"/>
          </w:tcPr>
          <w:p>
            <w:pPr>
              <w:pStyle w:val="26"/>
              <w:rPr>
                <w:sz w:val="22"/>
                <w:szCs w:val="28"/>
              </w:rPr>
            </w:pPr>
            <w:r>
              <w:rPr>
                <w:rFonts w:hint="eastAsia"/>
                <w:sz w:val="22"/>
                <w:szCs w:val="28"/>
              </w:rPr>
              <w:t>无变化</w:t>
            </w:r>
          </w:p>
        </w:tc>
        <w:tc>
          <w:tcPr>
            <w:tcW w:w="1710" w:type="dxa"/>
            <w:tcBorders>
              <w:tl2br w:val="nil"/>
              <w:tr2bl w:val="nil"/>
            </w:tcBorders>
            <w:vAlign w:val="center"/>
          </w:tcPr>
          <w:p>
            <w:pPr>
              <w:pStyle w:val="26"/>
              <w:jc w:val="center"/>
              <w:rPr>
                <w:sz w:val="22"/>
                <w:szCs w:val="28"/>
              </w:rPr>
            </w:pPr>
            <w:r>
              <w:rPr>
                <w:rFonts w:hint="eastAsia"/>
                <w:sz w:val="22"/>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54" w:type="dxa"/>
            <w:vMerge w:val="restart"/>
            <w:tcBorders>
              <w:top w:val="single" w:color="auto" w:sz="4" w:space="0"/>
              <w:bottom w:val="single" w:color="auto" w:sz="4" w:space="0"/>
              <w:tl2br w:val="nil"/>
              <w:tr2bl w:val="nil"/>
            </w:tcBorders>
            <w:vAlign w:val="center"/>
          </w:tcPr>
          <w:p>
            <w:pPr>
              <w:pStyle w:val="26"/>
              <w:rPr>
                <w:sz w:val="22"/>
                <w:szCs w:val="28"/>
              </w:rPr>
            </w:pPr>
            <w:r>
              <w:rPr>
                <w:rFonts w:hint="eastAsia"/>
                <w:sz w:val="22"/>
                <w:szCs w:val="28"/>
              </w:rPr>
              <w:t>环保</w:t>
            </w:r>
          </w:p>
          <w:p>
            <w:pPr>
              <w:pStyle w:val="26"/>
              <w:rPr>
                <w:sz w:val="22"/>
                <w:szCs w:val="28"/>
              </w:rPr>
            </w:pPr>
            <w:r>
              <w:rPr>
                <w:rFonts w:hint="eastAsia"/>
                <w:sz w:val="22"/>
                <w:szCs w:val="28"/>
              </w:rPr>
              <w:t>工程</w:t>
            </w:r>
          </w:p>
        </w:tc>
        <w:tc>
          <w:tcPr>
            <w:tcW w:w="959" w:type="dxa"/>
            <w:tcBorders>
              <w:tl2br w:val="nil"/>
              <w:tr2bl w:val="nil"/>
            </w:tcBorders>
            <w:vAlign w:val="center"/>
          </w:tcPr>
          <w:p>
            <w:pPr>
              <w:pStyle w:val="26"/>
              <w:rPr>
                <w:sz w:val="22"/>
                <w:szCs w:val="28"/>
              </w:rPr>
            </w:pPr>
            <w:r>
              <w:rPr>
                <w:rFonts w:hint="eastAsia"/>
                <w:sz w:val="22"/>
                <w:szCs w:val="28"/>
              </w:rPr>
              <w:t>废水治理</w:t>
            </w:r>
          </w:p>
        </w:tc>
        <w:tc>
          <w:tcPr>
            <w:tcW w:w="2547" w:type="dxa"/>
            <w:tcBorders>
              <w:tl2br w:val="nil"/>
              <w:tr2bl w:val="nil"/>
            </w:tcBorders>
            <w:vAlign w:val="center"/>
          </w:tcPr>
          <w:p>
            <w:pPr>
              <w:pStyle w:val="26"/>
              <w:rPr>
                <w:sz w:val="22"/>
                <w:szCs w:val="28"/>
              </w:rPr>
            </w:pPr>
            <w:r>
              <w:rPr>
                <w:rFonts w:hint="eastAsia"/>
                <w:sz w:val="22"/>
                <w:szCs w:val="28"/>
              </w:rPr>
              <w:t>小区排污口排至城镇污水管网</w:t>
            </w:r>
          </w:p>
        </w:tc>
        <w:tc>
          <w:tcPr>
            <w:tcW w:w="2562" w:type="dxa"/>
            <w:tcBorders>
              <w:tl2br w:val="nil"/>
              <w:tr2bl w:val="nil"/>
            </w:tcBorders>
            <w:vAlign w:val="center"/>
          </w:tcPr>
          <w:p>
            <w:pPr>
              <w:pStyle w:val="26"/>
              <w:rPr>
                <w:sz w:val="22"/>
                <w:szCs w:val="28"/>
              </w:rPr>
            </w:pPr>
            <w:r>
              <w:rPr>
                <w:rFonts w:hint="eastAsia"/>
                <w:sz w:val="22"/>
                <w:szCs w:val="28"/>
              </w:rPr>
              <w:t>本项目生活污水经化粪池处理后外排至昌城镇污水管网</w:t>
            </w:r>
          </w:p>
        </w:tc>
        <w:tc>
          <w:tcPr>
            <w:tcW w:w="1710" w:type="dxa"/>
            <w:tcBorders>
              <w:tl2br w:val="nil"/>
              <w:tr2bl w:val="nil"/>
            </w:tcBorders>
            <w:vAlign w:val="center"/>
          </w:tcPr>
          <w:p>
            <w:pPr>
              <w:pStyle w:val="26"/>
              <w:jc w:val="center"/>
              <w:rPr>
                <w:sz w:val="22"/>
                <w:szCs w:val="28"/>
              </w:rPr>
            </w:pPr>
            <w:r>
              <w:rPr>
                <w:rFonts w:hint="eastAsia"/>
                <w:sz w:val="22"/>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54" w:type="dxa"/>
            <w:vMerge w:val="continue"/>
            <w:tcBorders>
              <w:top w:val="single" w:color="auto" w:sz="4" w:space="0"/>
              <w:bottom w:val="single" w:color="auto" w:sz="4" w:space="0"/>
              <w:tl2br w:val="nil"/>
              <w:tr2bl w:val="nil"/>
            </w:tcBorders>
            <w:vAlign w:val="center"/>
          </w:tcPr>
          <w:p>
            <w:pPr>
              <w:pStyle w:val="26"/>
              <w:rPr>
                <w:sz w:val="22"/>
                <w:szCs w:val="28"/>
              </w:rPr>
            </w:pPr>
          </w:p>
        </w:tc>
        <w:tc>
          <w:tcPr>
            <w:tcW w:w="959" w:type="dxa"/>
            <w:tcBorders>
              <w:tl2br w:val="nil"/>
              <w:tr2bl w:val="nil"/>
            </w:tcBorders>
            <w:vAlign w:val="center"/>
          </w:tcPr>
          <w:p>
            <w:pPr>
              <w:pStyle w:val="26"/>
              <w:rPr>
                <w:sz w:val="22"/>
                <w:szCs w:val="28"/>
              </w:rPr>
            </w:pPr>
            <w:r>
              <w:rPr>
                <w:rFonts w:hint="eastAsia"/>
                <w:sz w:val="22"/>
                <w:szCs w:val="28"/>
              </w:rPr>
              <w:t>废气治理</w:t>
            </w:r>
          </w:p>
        </w:tc>
        <w:tc>
          <w:tcPr>
            <w:tcW w:w="2547" w:type="dxa"/>
            <w:tcBorders>
              <w:tl2br w:val="nil"/>
              <w:tr2bl w:val="nil"/>
            </w:tcBorders>
            <w:vAlign w:val="center"/>
          </w:tcPr>
          <w:p>
            <w:pPr>
              <w:pStyle w:val="26"/>
              <w:rPr>
                <w:sz w:val="22"/>
                <w:szCs w:val="28"/>
              </w:rPr>
            </w:pPr>
            <w:r>
              <w:rPr>
                <w:rFonts w:hint="eastAsia"/>
                <w:sz w:val="22"/>
                <w:szCs w:val="28"/>
              </w:rPr>
              <w:t>油烟通过油烟净化装置净化后无组织排放；汽车尾气通过设置指示牌引导外来车辆停放，减少怠速行驶；在停车位周围加强绿化、建立绿色屏障等措施.</w:t>
            </w:r>
          </w:p>
        </w:tc>
        <w:tc>
          <w:tcPr>
            <w:tcW w:w="2562" w:type="dxa"/>
            <w:tcBorders>
              <w:tl2br w:val="nil"/>
              <w:tr2bl w:val="nil"/>
            </w:tcBorders>
            <w:vAlign w:val="center"/>
          </w:tcPr>
          <w:p>
            <w:pPr>
              <w:pStyle w:val="26"/>
              <w:rPr>
                <w:sz w:val="22"/>
                <w:szCs w:val="28"/>
              </w:rPr>
            </w:pPr>
            <w:r>
              <w:rPr>
                <w:rFonts w:hint="eastAsia"/>
                <w:sz w:val="22"/>
                <w:szCs w:val="28"/>
              </w:rPr>
              <w:t>无变化</w:t>
            </w:r>
          </w:p>
        </w:tc>
        <w:tc>
          <w:tcPr>
            <w:tcW w:w="1710" w:type="dxa"/>
            <w:tcBorders>
              <w:tl2br w:val="nil"/>
              <w:tr2bl w:val="nil"/>
            </w:tcBorders>
            <w:vAlign w:val="center"/>
          </w:tcPr>
          <w:p>
            <w:pPr>
              <w:pStyle w:val="26"/>
              <w:jc w:val="center"/>
              <w:rPr>
                <w:sz w:val="22"/>
                <w:szCs w:val="28"/>
              </w:rPr>
            </w:pPr>
            <w:r>
              <w:rPr>
                <w:rFonts w:hint="eastAsia"/>
                <w:sz w:val="22"/>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54" w:type="dxa"/>
            <w:vMerge w:val="continue"/>
            <w:tcBorders>
              <w:top w:val="single" w:color="auto" w:sz="4" w:space="0"/>
              <w:bottom w:val="single" w:color="auto" w:sz="4" w:space="0"/>
              <w:tl2br w:val="nil"/>
              <w:tr2bl w:val="nil"/>
            </w:tcBorders>
            <w:vAlign w:val="center"/>
          </w:tcPr>
          <w:p>
            <w:pPr>
              <w:pStyle w:val="26"/>
              <w:rPr>
                <w:sz w:val="22"/>
                <w:szCs w:val="28"/>
              </w:rPr>
            </w:pPr>
          </w:p>
        </w:tc>
        <w:tc>
          <w:tcPr>
            <w:tcW w:w="959" w:type="dxa"/>
            <w:tcBorders>
              <w:tl2br w:val="nil"/>
              <w:tr2bl w:val="nil"/>
            </w:tcBorders>
            <w:vAlign w:val="center"/>
          </w:tcPr>
          <w:p>
            <w:pPr>
              <w:pStyle w:val="26"/>
              <w:rPr>
                <w:sz w:val="22"/>
                <w:szCs w:val="28"/>
              </w:rPr>
            </w:pPr>
            <w:r>
              <w:rPr>
                <w:rFonts w:hint="eastAsia"/>
                <w:sz w:val="22"/>
                <w:szCs w:val="28"/>
              </w:rPr>
              <w:t>固废治理</w:t>
            </w:r>
          </w:p>
        </w:tc>
        <w:tc>
          <w:tcPr>
            <w:tcW w:w="2547" w:type="dxa"/>
            <w:tcBorders>
              <w:tl2br w:val="nil"/>
              <w:tr2bl w:val="nil"/>
            </w:tcBorders>
            <w:vAlign w:val="center"/>
          </w:tcPr>
          <w:p>
            <w:pPr>
              <w:pStyle w:val="26"/>
              <w:rPr>
                <w:sz w:val="22"/>
                <w:szCs w:val="28"/>
              </w:rPr>
            </w:pPr>
            <w:r>
              <w:rPr>
                <w:rFonts w:hint="eastAsia"/>
                <w:sz w:val="22"/>
                <w:szCs w:val="28"/>
              </w:rPr>
              <w:t>生活垃圾由小区内带盖垃圾桶收集后集中，再运至诸城市垃圾处理场。</w:t>
            </w:r>
          </w:p>
        </w:tc>
        <w:tc>
          <w:tcPr>
            <w:tcW w:w="2562" w:type="dxa"/>
            <w:tcBorders>
              <w:tl2br w:val="nil"/>
              <w:tr2bl w:val="nil"/>
            </w:tcBorders>
            <w:vAlign w:val="center"/>
          </w:tcPr>
          <w:p>
            <w:pPr>
              <w:pStyle w:val="26"/>
              <w:rPr>
                <w:sz w:val="22"/>
                <w:szCs w:val="28"/>
              </w:rPr>
            </w:pPr>
            <w:r>
              <w:rPr>
                <w:rFonts w:hint="eastAsia"/>
                <w:sz w:val="22"/>
                <w:szCs w:val="28"/>
              </w:rPr>
              <w:t>小区设带盖垃圾桶</w:t>
            </w:r>
          </w:p>
        </w:tc>
        <w:tc>
          <w:tcPr>
            <w:tcW w:w="1710" w:type="dxa"/>
            <w:tcBorders>
              <w:tl2br w:val="nil"/>
              <w:tr2bl w:val="nil"/>
            </w:tcBorders>
            <w:vAlign w:val="center"/>
          </w:tcPr>
          <w:p>
            <w:pPr>
              <w:pStyle w:val="26"/>
              <w:jc w:val="center"/>
              <w:rPr>
                <w:sz w:val="22"/>
                <w:szCs w:val="28"/>
              </w:rPr>
            </w:pPr>
            <w:r>
              <w:rPr>
                <w:rFonts w:hint="eastAsia"/>
                <w:sz w:val="22"/>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754" w:type="dxa"/>
            <w:vMerge w:val="continue"/>
            <w:tcBorders>
              <w:top w:val="single" w:color="auto" w:sz="4" w:space="0"/>
              <w:tl2br w:val="nil"/>
              <w:tr2bl w:val="nil"/>
            </w:tcBorders>
            <w:vAlign w:val="center"/>
          </w:tcPr>
          <w:p>
            <w:pPr>
              <w:pStyle w:val="26"/>
              <w:rPr>
                <w:sz w:val="22"/>
                <w:szCs w:val="28"/>
              </w:rPr>
            </w:pPr>
          </w:p>
        </w:tc>
        <w:tc>
          <w:tcPr>
            <w:tcW w:w="959" w:type="dxa"/>
            <w:tcBorders>
              <w:tl2br w:val="nil"/>
              <w:tr2bl w:val="nil"/>
            </w:tcBorders>
            <w:vAlign w:val="center"/>
          </w:tcPr>
          <w:p>
            <w:pPr>
              <w:pStyle w:val="26"/>
              <w:rPr>
                <w:sz w:val="22"/>
                <w:szCs w:val="28"/>
              </w:rPr>
            </w:pPr>
            <w:r>
              <w:rPr>
                <w:rFonts w:hint="eastAsia"/>
                <w:sz w:val="22"/>
                <w:szCs w:val="28"/>
              </w:rPr>
              <w:t>噪声治理</w:t>
            </w:r>
          </w:p>
        </w:tc>
        <w:tc>
          <w:tcPr>
            <w:tcW w:w="2547" w:type="dxa"/>
            <w:tcBorders>
              <w:tl2br w:val="nil"/>
              <w:tr2bl w:val="nil"/>
            </w:tcBorders>
            <w:vAlign w:val="center"/>
          </w:tcPr>
          <w:p>
            <w:pPr>
              <w:pStyle w:val="26"/>
              <w:rPr>
                <w:sz w:val="22"/>
                <w:szCs w:val="28"/>
              </w:rPr>
            </w:pPr>
            <w:r>
              <w:rPr>
                <w:rFonts w:hint="eastAsia"/>
                <w:sz w:val="22"/>
                <w:szCs w:val="28"/>
              </w:rPr>
              <w:t>对变配电室、换热站、空调等设备采取减震、密封罩、吸声及隔声等措施</w:t>
            </w:r>
          </w:p>
        </w:tc>
        <w:tc>
          <w:tcPr>
            <w:tcW w:w="2562" w:type="dxa"/>
            <w:tcBorders>
              <w:tl2br w:val="nil"/>
              <w:tr2bl w:val="nil"/>
            </w:tcBorders>
            <w:vAlign w:val="center"/>
          </w:tcPr>
          <w:p>
            <w:pPr>
              <w:pStyle w:val="26"/>
              <w:rPr>
                <w:sz w:val="22"/>
                <w:szCs w:val="28"/>
              </w:rPr>
            </w:pPr>
            <w:r>
              <w:rPr>
                <w:rFonts w:hint="eastAsia"/>
                <w:sz w:val="22"/>
                <w:szCs w:val="28"/>
              </w:rPr>
              <w:t>无变化</w:t>
            </w:r>
          </w:p>
        </w:tc>
        <w:tc>
          <w:tcPr>
            <w:tcW w:w="1710" w:type="dxa"/>
            <w:tcBorders>
              <w:tl2br w:val="nil"/>
              <w:tr2bl w:val="nil"/>
            </w:tcBorders>
            <w:vAlign w:val="center"/>
          </w:tcPr>
          <w:p>
            <w:pPr>
              <w:pStyle w:val="26"/>
              <w:jc w:val="center"/>
              <w:rPr>
                <w:sz w:val="22"/>
                <w:szCs w:val="28"/>
              </w:rPr>
            </w:pPr>
            <w:r>
              <w:rPr>
                <w:rFonts w:hint="eastAsia"/>
                <w:sz w:val="22"/>
                <w:szCs w:val="28"/>
              </w:rPr>
              <w:t>/</w:t>
            </w:r>
          </w:p>
        </w:tc>
      </w:tr>
    </w:tbl>
    <w:p>
      <w:pPr>
        <w:pStyle w:val="6"/>
        <w:ind w:firstLine="562"/>
      </w:pPr>
      <w:bookmarkStart w:id="54" w:name="_Toc14663_WPSOffice_Level2"/>
      <w:bookmarkStart w:id="55" w:name="_Toc18891_WPSOffice_Level2"/>
      <w:bookmarkStart w:id="56" w:name="_Toc1229_WPSOffice_Level2"/>
      <w:bookmarkStart w:id="57" w:name="_Toc14397_WPSOffice_Level2"/>
      <w:bookmarkStart w:id="58" w:name="_Toc28036_WPSOffice_Level2"/>
      <w:r>
        <w:rPr>
          <w:rFonts w:hint="eastAsia"/>
        </w:rPr>
        <w:t>3.3项目变动情况</w:t>
      </w:r>
      <w:bookmarkEnd w:id="54"/>
      <w:bookmarkEnd w:id="55"/>
      <w:bookmarkEnd w:id="56"/>
      <w:bookmarkEnd w:id="57"/>
      <w:bookmarkEnd w:id="58"/>
    </w:p>
    <w:p>
      <w:pPr>
        <w:ind w:firstLine="560"/>
      </w:pPr>
      <w:r>
        <w:rPr>
          <w:rFonts w:hint="eastAsia"/>
        </w:rPr>
        <w:t>该项目总建筑面积由原先的16932.21平方米调整为16883平方米，建筑面积减少，变化幅度为-0.29%，上述变更不属于重大变更。</w:t>
      </w:r>
    </w:p>
    <w:p>
      <w:pPr>
        <w:ind w:firstLine="560"/>
      </w:pPr>
      <w:bookmarkStart w:id="59" w:name="_Toc11796_WPSOffice_Level1"/>
      <w:bookmarkStart w:id="60" w:name="_Toc18891_WPSOffice_Level1"/>
      <w:bookmarkStart w:id="61" w:name="_Toc23190_WPSOffice_Level1"/>
      <w:bookmarkStart w:id="62" w:name="_Toc9483_WPSOffice_Level1"/>
    </w:p>
    <w:p>
      <w:pPr>
        <w:pStyle w:val="5"/>
      </w:pPr>
    </w:p>
    <w:p>
      <w:pPr>
        <w:ind w:firstLine="560"/>
      </w:pPr>
    </w:p>
    <w:p>
      <w:pPr>
        <w:pStyle w:val="2"/>
        <w:ind w:left="560" w:firstLine="480"/>
      </w:pPr>
    </w:p>
    <w:p>
      <w:pPr>
        <w:ind w:firstLine="560"/>
      </w:pPr>
    </w:p>
    <w:p>
      <w:pPr>
        <w:pStyle w:val="2"/>
        <w:ind w:left="560" w:firstLine="480"/>
      </w:pPr>
    </w:p>
    <w:p>
      <w:pPr>
        <w:ind w:firstLine="560"/>
      </w:pPr>
    </w:p>
    <w:p>
      <w:pPr>
        <w:pStyle w:val="2"/>
        <w:ind w:left="560" w:firstLine="480"/>
      </w:pPr>
    </w:p>
    <w:p>
      <w:pPr>
        <w:ind w:firstLine="560"/>
      </w:pPr>
    </w:p>
    <w:p>
      <w:pPr>
        <w:pStyle w:val="2"/>
        <w:ind w:left="560" w:firstLine="480"/>
      </w:pPr>
    </w:p>
    <w:p>
      <w:pPr>
        <w:ind w:firstLine="560"/>
      </w:pPr>
    </w:p>
    <w:p>
      <w:pPr>
        <w:pStyle w:val="2"/>
        <w:ind w:left="560" w:firstLine="480"/>
      </w:pPr>
    </w:p>
    <w:p>
      <w:pPr>
        <w:ind w:firstLine="560"/>
      </w:pPr>
    </w:p>
    <w:p>
      <w:pPr>
        <w:pStyle w:val="2"/>
        <w:ind w:left="560" w:firstLine="480"/>
      </w:pPr>
    </w:p>
    <w:p>
      <w:pPr>
        <w:pStyle w:val="2"/>
        <w:ind w:left="0" w:leftChars="0" w:firstLine="0" w:firstLineChars="0"/>
      </w:pPr>
    </w:p>
    <w:p>
      <w:pPr>
        <w:pStyle w:val="5"/>
        <w:rPr>
          <w:rFonts w:hint="eastAsia" w:eastAsia="宋体"/>
          <w:lang w:val="en-US" w:eastAsia="zh-CN"/>
        </w:rPr>
      </w:pPr>
      <w:bookmarkStart w:id="63" w:name="_Toc18221_WPSOffice_Level1"/>
    </w:p>
    <w:p>
      <w:pPr>
        <w:rPr>
          <w:rFonts w:hint="eastAsia"/>
          <w:lang w:val="en-US" w:eastAsia="zh-CN"/>
        </w:rPr>
      </w:pPr>
    </w:p>
    <w:p>
      <w:pPr>
        <w:pStyle w:val="5"/>
      </w:pPr>
      <w:r>
        <w:rPr>
          <w:rFonts w:hint="eastAsia"/>
        </w:rPr>
        <w:t>四、环境保护设施</w:t>
      </w:r>
      <w:bookmarkEnd w:id="59"/>
      <w:bookmarkEnd w:id="60"/>
      <w:bookmarkEnd w:id="61"/>
      <w:bookmarkEnd w:id="62"/>
      <w:bookmarkEnd w:id="63"/>
    </w:p>
    <w:p>
      <w:pPr>
        <w:pStyle w:val="6"/>
        <w:ind w:firstLine="0" w:firstLineChars="0"/>
      </w:pPr>
      <w:bookmarkStart w:id="64" w:name="_Toc10915_WPSOffice_Level2"/>
      <w:bookmarkStart w:id="65" w:name="_Toc6327_WPSOffice_Level2"/>
      <w:bookmarkStart w:id="66" w:name="_Toc28660_WPSOffice_Level2"/>
      <w:bookmarkStart w:id="67" w:name="_Toc28851_WPSOffice_Level2"/>
      <w:bookmarkStart w:id="68" w:name="_Toc32151_WPSOffice_Level2"/>
      <w:r>
        <w:rPr>
          <w:rFonts w:hint="eastAsia"/>
        </w:rPr>
        <w:t>4.1污染物治理/处置设施</w:t>
      </w:r>
      <w:bookmarkEnd w:id="64"/>
      <w:bookmarkEnd w:id="65"/>
      <w:bookmarkEnd w:id="66"/>
      <w:bookmarkEnd w:id="67"/>
      <w:bookmarkEnd w:id="68"/>
    </w:p>
    <w:p>
      <w:pPr>
        <w:pStyle w:val="7"/>
        <w:numPr>
          <w:ilvl w:val="2"/>
          <w:numId w:val="0"/>
        </w:numPr>
      </w:pPr>
      <w:bookmarkStart w:id="69" w:name="_Toc32682_WPSOffice_Level3"/>
      <w:r>
        <w:rPr>
          <w:rFonts w:hint="eastAsia"/>
        </w:rPr>
        <w:t>4.1.1 废水</w:t>
      </w:r>
      <w:bookmarkEnd w:id="69"/>
    </w:p>
    <w:p>
      <w:pPr>
        <w:ind w:firstLine="560"/>
      </w:pPr>
      <w:r>
        <w:rPr>
          <w:rFonts w:hint="eastAsia"/>
        </w:rPr>
        <w:t>本项目废水主要生活污水。生活污水经化粪池处理后入城镇污水管网由诸城市昌城污水处理厂进一步处理后排入潍河。</w:t>
      </w:r>
    </w:p>
    <w:p>
      <w:pPr>
        <w:pStyle w:val="7"/>
        <w:numPr>
          <w:ilvl w:val="2"/>
          <w:numId w:val="0"/>
        </w:numPr>
      </w:pPr>
      <w:bookmarkStart w:id="70" w:name="_Toc519_WPSOffice_Level3"/>
      <w:r>
        <w:rPr>
          <w:rFonts w:hint="eastAsia"/>
        </w:rPr>
        <w:t>4.1.2 废气</w:t>
      </w:r>
    </w:p>
    <w:p>
      <w:pPr>
        <w:adjustRightInd w:val="0"/>
        <w:spacing w:line="520" w:lineRule="exact"/>
        <w:ind w:firstLine="480"/>
        <w:rPr>
          <w:rFonts w:ascii="Times New Roman" w:hAnsi="Times New Roman" w:cs="Times New Roman"/>
          <w:sz w:val="24"/>
        </w:rPr>
      </w:pPr>
      <w:r>
        <w:rPr>
          <w:rFonts w:ascii="Times New Roman" w:hAnsi="Times New Roman" w:cs="Times New Roman"/>
          <w:sz w:val="24"/>
        </w:rPr>
        <w:t>项目产生的废气主要是居民厨房炉灶产生的油烟、汽车进出项目区和车库产生的尾气</w:t>
      </w:r>
      <w:r>
        <w:rPr>
          <w:rFonts w:hint="eastAsia" w:ascii="Times New Roman" w:hAnsi="Times New Roman" w:cs="Times New Roman"/>
          <w:sz w:val="24"/>
        </w:rPr>
        <w:t>及垃圾桶内垃圾散发的异味</w:t>
      </w:r>
      <w:r>
        <w:rPr>
          <w:rFonts w:ascii="Times New Roman" w:hAnsi="Times New Roman" w:cs="Times New Roman"/>
          <w:sz w:val="24"/>
        </w:rPr>
        <w:t>。油烟通过油烟净化装置净化后排放；汽车尾气通过设置指示牌引导外来车辆停放，减少怠速行驶；在小区内加强绿化、建立绿色屏障等措施，同时汽车在项目区内行驶停留时间较短，产生少量的汽车尾气能迅速被空气稀释、扩散</w:t>
      </w:r>
      <w:r>
        <w:rPr>
          <w:rFonts w:hint="eastAsia" w:ascii="Times New Roman" w:hAnsi="Times New Roman" w:cs="Times New Roman"/>
          <w:sz w:val="24"/>
        </w:rPr>
        <w:t>；小区设置带盖垃圾桶，对垃圾桶内垃圾每日进行清理，垃圾桶周围进行绿化，减小臭气对周围环境影响</w:t>
      </w:r>
      <w:r>
        <w:rPr>
          <w:rFonts w:ascii="Times New Roman" w:hAnsi="Times New Roman" w:cs="Times New Roman"/>
          <w:sz w:val="24"/>
        </w:rPr>
        <w:t>。</w:t>
      </w:r>
    </w:p>
    <w:p>
      <w:pPr>
        <w:pStyle w:val="7"/>
        <w:numPr>
          <w:ilvl w:val="2"/>
          <w:numId w:val="0"/>
        </w:numPr>
      </w:pPr>
      <w:r>
        <w:rPr>
          <w:rFonts w:hint="eastAsia"/>
        </w:rPr>
        <w:t>4.1.3噪声</w:t>
      </w:r>
      <w:bookmarkEnd w:id="70"/>
    </w:p>
    <w:p>
      <w:pPr>
        <w:ind w:firstLine="560"/>
      </w:pPr>
      <w:r>
        <w:rPr>
          <w:rFonts w:hint="eastAsia"/>
        </w:rPr>
        <w:t>项目噪声汽车出让小区口的交通噪声和人员社会活动噪声，对周围环境影响较小。水泵、配电室、热转换泵等通过绿化和距离衰减对地上周围环境影响较小符合要求。小区建有景观绿化，物业公司加强管理，项目噪声排放达到《社会生活环境噪声排放标准》（GB22337-2008）中的2类标准。</w:t>
      </w:r>
    </w:p>
    <w:p>
      <w:pPr>
        <w:pStyle w:val="7"/>
        <w:numPr>
          <w:ilvl w:val="2"/>
          <w:numId w:val="0"/>
        </w:numPr>
      </w:pPr>
      <w:bookmarkStart w:id="71" w:name="_Toc20308_WPSOffice_Level3"/>
      <w:r>
        <w:rPr>
          <w:rFonts w:hint="eastAsia"/>
        </w:rPr>
        <w:t>4.1.4固体废物</w:t>
      </w:r>
      <w:bookmarkEnd w:id="71"/>
    </w:p>
    <w:p>
      <w:pPr>
        <w:ind w:firstLine="560"/>
      </w:pPr>
      <w:r>
        <w:rPr>
          <w:rFonts w:hint="eastAsia"/>
        </w:rPr>
        <w:t>该项目运营过程中产生的主要废物为居民和商业配套产生的生活垃圾。生活垃圾每天定时由环卫部门统一收集处理，对周边环境没有影响。</w:t>
      </w:r>
    </w:p>
    <w:p>
      <w:pPr>
        <w:pStyle w:val="6"/>
        <w:ind w:firstLine="0" w:firstLineChars="0"/>
        <w:rPr>
          <w:rFonts w:ascii="宋体" w:hAnsi="宋体" w:cs="宋体"/>
        </w:rPr>
      </w:pPr>
      <w:bookmarkStart w:id="72" w:name="_Toc17432_WPSOffice_Level2"/>
      <w:bookmarkStart w:id="73" w:name="_Toc17953_WPSOffice_Level2"/>
      <w:bookmarkStart w:id="74" w:name="_Toc25066_WPSOffice_Level2"/>
      <w:bookmarkStart w:id="75" w:name="_Toc13678_WPSOffice_Level2"/>
      <w:bookmarkStart w:id="76" w:name="_Toc9483_WPSOffice_Level2"/>
      <w:r>
        <w:rPr>
          <w:rFonts w:hint="eastAsia" w:ascii="宋体" w:hAnsi="宋体" w:cs="宋体"/>
        </w:rPr>
        <w:t>4.2 环保设施投资及“三同时”落实情况</w:t>
      </w:r>
      <w:bookmarkEnd w:id="72"/>
      <w:bookmarkEnd w:id="73"/>
      <w:bookmarkEnd w:id="74"/>
      <w:bookmarkEnd w:id="75"/>
      <w:bookmarkEnd w:id="76"/>
    </w:p>
    <w:p>
      <w:pPr>
        <w:ind w:firstLine="560"/>
      </w:pPr>
      <w:r>
        <w:rPr>
          <w:rFonts w:hint="eastAsia"/>
        </w:rPr>
        <w:t xml:space="preserve"> 该项目投资3500万元，其中环保投资400万元，占总投资的11.4％。</w:t>
      </w:r>
    </w:p>
    <w:p>
      <w:pPr>
        <w:ind w:firstLine="480"/>
        <w:jc w:val="center"/>
        <w:rPr>
          <w:sz w:val="24"/>
          <w:szCs w:val="22"/>
        </w:rPr>
      </w:pPr>
      <w:bookmarkStart w:id="77" w:name="_Toc20829_WPSOffice_Level2"/>
      <w:bookmarkStart w:id="78" w:name="_Toc20301_WPSOffice_Level2"/>
      <w:bookmarkStart w:id="79" w:name="_Toc11946_WPSOffice_Level3"/>
      <w:bookmarkStart w:id="80" w:name="_Toc14796_WPSOffice_Level2"/>
      <w:bookmarkStart w:id="81" w:name="_Toc13722_WPSOffice_Level2"/>
      <w:r>
        <w:rPr>
          <w:rFonts w:hint="eastAsia"/>
          <w:sz w:val="24"/>
          <w:szCs w:val="22"/>
        </w:rPr>
        <w:t>表4.2-1环保投资情况</w:t>
      </w:r>
      <w:bookmarkEnd w:id="77"/>
      <w:bookmarkEnd w:id="78"/>
      <w:bookmarkEnd w:id="79"/>
      <w:bookmarkEnd w:id="80"/>
      <w:bookmarkEnd w:id="81"/>
    </w:p>
    <w:tbl>
      <w:tblPr>
        <w:tblStyle w:val="19"/>
        <w:tblW w:w="8787"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74"/>
        <w:gridCol w:w="2645"/>
        <w:gridCol w:w="2871"/>
        <w:gridCol w:w="219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cantSplit/>
          <w:trHeight w:val="23" w:hRule="atLeast"/>
          <w:jc w:val="center"/>
        </w:trPr>
        <w:tc>
          <w:tcPr>
            <w:tcW w:w="1074"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序号</w:t>
            </w:r>
          </w:p>
        </w:tc>
        <w:tc>
          <w:tcPr>
            <w:tcW w:w="2645"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项目</w:t>
            </w:r>
          </w:p>
        </w:tc>
        <w:tc>
          <w:tcPr>
            <w:tcW w:w="2871"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环保设施</w:t>
            </w:r>
          </w:p>
        </w:tc>
        <w:tc>
          <w:tcPr>
            <w:tcW w:w="2197"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环保投资（万元）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cantSplit/>
          <w:trHeight w:val="23" w:hRule="atLeast"/>
          <w:jc w:val="center"/>
        </w:trPr>
        <w:tc>
          <w:tcPr>
            <w:tcW w:w="1074"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1</w:t>
            </w:r>
          </w:p>
        </w:tc>
        <w:tc>
          <w:tcPr>
            <w:tcW w:w="2645"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废水</w:t>
            </w:r>
          </w:p>
        </w:tc>
        <w:tc>
          <w:tcPr>
            <w:tcW w:w="2871"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化粪池、给水管网</w:t>
            </w:r>
          </w:p>
        </w:tc>
        <w:tc>
          <w:tcPr>
            <w:tcW w:w="2197"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100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cantSplit/>
          <w:trHeight w:val="23" w:hRule="atLeast"/>
          <w:jc w:val="center"/>
        </w:trPr>
        <w:tc>
          <w:tcPr>
            <w:tcW w:w="1074"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2</w:t>
            </w:r>
          </w:p>
        </w:tc>
        <w:tc>
          <w:tcPr>
            <w:tcW w:w="2645"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废气</w:t>
            </w:r>
          </w:p>
        </w:tc>
        <w:tc>
          <w:tcPr>
            <w:tcW w:w="2871"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厨房公用烟道、机械排风</w:t>
            </w:r>
          </w:p>
        </w:tc>
        <w:tc>
          <w:tcPr>
            <w:tcW w:w="2197"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70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cantSplit/>
          <w:trHeight w:val="23" w:hRule="atLeast"/>
          <w:jc w:val="center"/>
        </w:trPr>
        <w:tc>
          <w:tcPr>
            <w:tcW w:w="1074"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3</w:t>
            </w:r>
          </w:p>
        </w:tc>
        <w:tc>
          <w:tcPr>
            <w:tcW w:w="2645"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噪声</w:t>
            </w:r>
          </w:p>
        </w:tc>
        <w:tc>
          <w:tcPr>
            <w:tcW w:w="2871"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隔音降噪设施</w:t>
            </w:r>
          </w:p>
        </w:tc>
        <w:tc>
          <w:tcPr>
            <w:tcW w:w="2197"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60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cantSplit/>
          <w:trHeight w:val="23" w:hRule="atLeast"/>
          <w:jc w:val="center"/>
        </w:trPr>
        <w:tc>
          <w:tcPr>
            <w:tcW w:w="1074"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4</w:t>
            </w:r>
          </w:p>
        </w:tc>
        <w:tc>
          <w:tcPr>
            <w:tcW w:w="2645"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固废</w:t>
            </w:r>
          </w:p>
        </w:tc>
        <w:tc>
          <w:tcPr>
            <w:tcW w:w="2871"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固废收集</w:t>
            </w:r>
          </w:p>
        </w:tc>
        <w:tc>
          <w:tcPr>
            <w:tcW w:w="2197"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60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cantSplit/>
          <w:trHeight w:val="23" w:hRule="atLeast"/>
          <w:jc w:val="center"/>
        </w:trPr>
        <w:tc>
          <w:tcPr>
            <w:tcW w:w="1074"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5</w:t>
            </w:r>
          </w:p>
        </w:tc>
        <w:tc>
          <w:tcPr>
            <w:tcW w:w="2645"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其他</w:t>
            </w:r>
          </w:p>
        </w:tc>
        <w:tc>
          <w:tcPr>
            <w:tcW w:w="2871"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生态恢复、绿化</w:t>
            </w:r>
          </w:p>
        </w:tc>
        <w:tc>
          <w:tcPr>
            <w:tcW w:w="2197"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110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cantSplit/>
          <w:trHeight w:val="23" w:hRule="atLeast"/>
          <w:jc w:val="center"/>
        </w:trPr>
        <w:tc>
          <w:tcPr>
            <w:tcW w:w="1074"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p>
        </w:tc>
        <w:tc>
          <w:tcPr>
            <w:tcW w:w="2645"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合计</w:t>
            </w:r>
          </w:p>
        </w:tc>
        <w:tc>
          <w:tcPr>
            <w:tcW w:w="2871"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p>
        </w:tc>
        <w:tc>
          <w:tcPr>
            <w:tcW w:w="2197"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cantSplit/>
          <w:trHeight w:val="23" w:hRule="atLeast"/>
          <w:jc w:val="center"/>
        </w:trPr>
        <w:tc>
          <w:tcPr>
            <w:tcW w:w="1074"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p>
        </w:tc>
        <w:tc>
          <w:tcPr>
            <w:tcW w:w="2645"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占总投资比例（％）</w:t>
            </w:r>
          </w:p>
        </w:tc>
        <w:tc>
          <w:tcPr>
            <w:tcW w:w="2871"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p>
        </w:tc>
        <w:tc>
          <w:tcPr>
            <w:tcW w:w="2197" w:type="dxa"/>
            <w:tcBorders>
              <w:top w:val="single" w:color="auto" w:sz="4" w:space="0"/>
              <w:left w:val="single" w:color="auto" w:sz="4" w:space="0"/>
              <w:bottom w:val="single" w:color="auto" w:sz="4" w:space="0"/>
              <w:right w:val="single" w:color="auto" w:sz="4" w:space="0"/>
            </w:tcBorders>
            <w:shd w:val="clear" w:color="auto" w:fill="auto"/>
          </w:tcPr>
          <w:p>
            <w:pPr>
              <w:pStyle w:val="26"/>
              <w:rPr>
                <w:sz w:val="24"/>
                <w:szCs w:val="32"/>
              </w:rPr>
            </w:pPr>
            <w:r>
              <w:rPr>
                <w:rFonts w:hint="eastAsia"/>
                <w:sz w:val="24"/>
                <w:szCs w:val="32"/>
              </w:rPr>
              <w:t>11.4%</w:t>
            </w:r>
          </w:p>
        </w:tc>
      </w:tr>
    </w:tbl>
    <w:p>
      <w:pPr>
        <w:pStyle w:val="5"/>
      </w:pPr>
      <w:bookmarkStart w:id="82" w:name="_Toc32682_WPSOffice_Level1"/>
      <w:bookmarkStart w:id="83" w:name="_Toc20301_WPSOffice_Level1"/>
      <w:bookmarkStart w:id="84" w:name="_Toc18044_WPSOffice_Level1"/>
      <w:bookmarkStart w:id="85" w:name="_Toc6327_WPSOffice_Level1"/>
      <w:bookmarkStart w:id="86" w:name="_Toc2285_WPSOffice_Level1"/>
      <w:r>
        <w:rPr>
          <w:rFonts w:hint="eastAsia"/>
        </w:rPr>
        <w:t>五、建议及审批部门审批决定</w:t>
      </w:r>
      <w:bookmarkEnd w:id="82"/>
      <w:bookmarkEnd w:id="83"/>
      <w:bookmarkEnd w:id="84"/>
      <w:bookmarkEnd w:id="85"/>
      <w:bookmarkEnd w:id="86"/>
    </w:p>
    <w:p>
      <w:pPr>
        <w:pStyle w:val="6"/>
        <w:ind w:firstLine="562"/>
      </w:pPr>
      <w:bookmarkStart w:id="87" w:name="_Toc7904_WPSOffice_Level2"/>
      <w:bookmarkStart w:id="88" w:name="_Toc509998947"/>
      <w:r>
        <w:rPr>
          <w:rFonts w:hint="eastAsia"/>
        </w:rPr>
        <w:t>5.1 建议</w:t>
      </w:r>
      <w:bookmarkEnd w:id="87"/>
      <w:bookmarkEnd w:id="88"/>
      <w:r>
        <w:rPr>
          <w:rFonts w:hint="eastAsia"/>
        </w:rPr>
        <w:t>及审批决定</w:t>
      </w:r>
      <w:r>
        <w:drawing>
          <wp:inline distT="0" distB="0" distL="114300" distR="114300">
            <wp:extent cx="5269865" cy="7247255"/>
            <wp:effectExtent l="0" t="0" r="6985" b="10795"/>
            <wp:docPr id="9" name="图片 9"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001"/>
                    <pic:cNvPicPr>
                      <a:picLocks noChangeAspect="1"/>
                    </pic:cNvPicPr>
                  </pic:nvPicPr>
                  <pic:blipFill>
                    <a:blip r:embed="rId13"/>
                    <a:stretch>
                      <a:fillRect/>
                    </a:stretch>
                  </pic:blipFill>
                  <pic:spPr>
                    <a:xfrm>
                      <a:off x="0" y="0"/>
                      <a:ext cx="5269865" cy="7247255"/>
                    </a:xfrm>
                    <a:prstGeom prst="rect">
                      <a:avLst/>
                    </a:prstGeom>
                  </pic:spPr>
                </pic:pic>
              </a:graphicData>
            </a:graphic>
          </wp:inline>
        </w:drawing>
      </w:r>
    </w:p>
    <w:p>
      <w:pPr>
        <w:pStyle w:val="5"/>
      </w:pPr>
      <w:bookmarkStart w:id="89" w:name="_Toc1229_WPSOffice_Level1"/>
      <w:bookmarkStart w:id="90" w:name="_Toc509998949"/>
    </w:p>
    <w:p>
      <w:pPr>
        <w:pStyle w:val="5"/>
      </w:pPr>
    </w:p>
    <w:p>
      <w:pPr>
        <w:pStyle w:val="5"/>
      </w:pPr>
      <w:bookmarkStart w:id="91" w:name="_Toc25829_WPSOffice_Level1"/>
      <w:r>
        <w:rPr>
          <w:rFonts w:hint="eastAsia"/>
        </w:rPr>
        <w:t>六、验收执行标准</w:t>
      </w:r>
      <w:bookmarkEnd w:id="89"/>
      <w:bookmarkEnd w:id="90"/>
      <w:bookmarkEnd w:id="91"/>
    </w:p>
    <w:p>
      <w:pPr>
        <w:pStyle w:val="6"/>
        <w:ind w:firstLine="0" w:firstLineChars="0"/>
      </w:pPr>
      <w:bookmarkStart w:id="92" w:name="_Toc267_WPSOffice_Level2"/>
      <w:bookmarkStart w:id="93" w:name="_Toc504574499"/>
      <w:bookmarkStart w:id="94" w:name="_Toc6535_WPSOffice_Level2"/>
      <w:bookmarkStart w:id="95" w:name="_Toc22129_WPSOffice_Level2"/>
      <w:r>
        <w:rPr>
          <w:rFonts w:hint="eastAsia"/>
        </w:rPr>
        <w:t>6.1 废水执行标准</w:t>
      </w:r>
      <w:bookmarkEnd w:id="92"/>
      <w:bookmarkEnd w:id="93"/>
      <w:bookmarkEnd w:id="94"/>
      <w:bookmarkEnd w:id="95"/>
    </w:p>
    <w:p>
      <w:pPr>
        <w:autoSpaceDE w:val="0"/>
        <w:autoSpaceDN w:val="0"/>
        <w:ind w:firstLine="560"/>
        <w:rPr>
          <w:rFonts w:ascii="宋体" w:hAnsi="宋体" w:cs="宋体"/>
          <w:szCs w:val="28"/>
        </w:rPr>
      </w:pPr>
      <w:r>
        <w:rPr>
          <w:rFonts w:hint="eastAsia" w:ascii="宋体" w:hAnsi="宋体" w:cs="宋体"/>
          <w:szCs w:val="28"/>
        </w:rPr>
        <w:t>本项目无生产工艺废水,主要为居民生活污水。本项目废水执行</w:t>
      </w:r>
      <w:r>
        <w:rPr>
          <w:rFonts w:hint="eastAsia" w:ascii="宋体" w:hAnsi="宋体" w:cs="宋体"/>
          <w:kern w:val="21"/>
          <w:szCs w:val="28"/>
        </w:rPr>
        <w:t>《污水排入城镇下水道水质标准》（GB/T 31962-2015 ）中B等级标准；</w:t>
      </w:r>
    </w:p>
    <w:p>
      <w:pPr>
        <w:pStyle w:val="6"/>
        <w:ind w:firstLine="0" w:firstLineChars="0"/>
      </w:pPr>
      <w:bookmarkStart w:id="96" w:name="_Toc26567_WPSOffice_Level2"/>
      <w:bookmarkStart w:id="97" w:name="_Toc504574501"/>
      <w:bookmarkStart w:id="98" w:name="_Toc30753_WPSOffice_Level2"/>
      <w:bookmarkStart w:id="99" w:name="_Toc1669_WPSOffice_Level2"/>
      <w:r>
        <w:rPr>
          <w:rFonts w:hint="eastAsia"/>
        </w:rPr>
        <w:t>6.2 噪声执行标准</w:t>
      </w:r>
      <w:bookmarkEnd w:id="96"/>
      <w:bookmarkEnd w:id="97"/>
      <w:bookmarkEnd w:id="98"/>
      <w:bookmarkEnd w:id="99"/>
    </w:p>
    <w:p>
      <w:pPr>
        <w:ind w:firstLine="560"/>
        <w:rPr>
          <w:rFonts w:ascii="宋体" w:hAnsi="宋体" w:cs="宋体"/>
        </w:rPr>
      </w:pPr>
      <w:r>
        <w:rPr>
          <w:rFonts w:hint="eastAsia" w:ascii="宋体" w:hAnsi="宋体" w:cs="宋体"/>
        </w:rPr>
        <w:t>主要噪声来源于各类水泵等设备噪声，以及汽车出入地下车库的交通噪声和人员社会活动噪声，执行《声环境质量标准》(GB3096-2008)中4a类标准,其余区域执行2类标准。</w:t>
      </w:r>
    </w:p>
    <w:p>
      <w:pPr>
        <w:ind w:firstLine="480"/>
        <w:jc w:val="center"/>
        <w:rPr>
          <w:sz w:val="24"/>
          <w:szCs w:val="22"/>
        </w:rPr>
      </w:pPr>
      <w:bookmarkStart w:id="100" w:name="_Toc6733_WPSOffice_Level2"/>
      <w:bookmarkStart w:id="101" w:name="_Toc18642_WPSOffice_Level2"/>
      <w:bookmarkStart w:id="102" w:name="_Toc16833_WPSOffice_Level3"/>
      <w:bookmarkStart w:id="103" w:name="_Toc9837_WPSOffice_Level2"/>
      <w:r>
        <w:rPr>
          <w:rFonts w:hint="eastAsia"/>
          <w:sz w:val="24"/>
          <w:szCs w:val="22"/>
        </w:rPr>
        <w:t>表</w:t>
      </w:r>
      <w:bookmarkEnd w:id="100"/>
      <w:bookmarkEnd w:id="101"/>
      <w:bookmarkEnd w:id="102"/>
      <w:r>
        <w:rPr>
          <w:rFonts w:hint="eastAsia"/>
          <w:sz w:val="24"/>
          <w:szCs w:val="22"/>
        </w:rPr>
        <w:t>6-</w:t>
      </w:r>
      <w:r>
        <w:rPr>
          <w:rFonts w:hint="eastAsia"/>
          <w:sz w:val="24"/>
          <w:szCs w:val="22"/>
        </w:rPr>
        <w:fldChar w:fldCharType="begin"/>
      </w:r>
      <w:r>
        <w:rPr>
          <w:rFonts w:hint="eastAsia"/>
          <w:sz w:val="24"/>
          <w:szCs w:val="22"/>
        </w:rPr>
        <w:instrText xml:space="preserve"> SEQ 表 </w:instrText>
      </w:r>
      <w:bookmarkEnd w:id="103"/>
      <w:r>
        <w:rPr>
          <w:rFonts w:hint="eastAsia"/>
          <w:sz w:val="24"/>
          <w:szCs w:val="22"/>
        </w:rPr>
        <w:instrText xml:space="preserve">\* ARABIC \s 2 </w:instrText>
      </w:r>
      <w:r>
        <w:rPr>
          <w:rFonts w:hint="eastAsia"/>
          <w:sz w:val="24"/>
          <w:szCs w:val="22"/>
        </w:rPr>
        <w:fldChar w:fldCharType="separate"/>
      </w:r>
      <w:r>
        <w:rPr>
          <w:rFonts w:hint="eastAsia"/>
          <w:sz w:val="24"/>
          <w:szCs w:val="22"/>
        </w:rPr>
        <w:t>1</w:t>
      </w:r>
      <w:r>
        <w:rPr>
          <w:rFonts w:hint="eastAsia"/>
          <w:sz w:val="24"/>
          <w:szCs w:val="22"/>
        </w:rPr>
        <w:fldChar w:fldCharType="end"/>
      </w:r>
      <w:r>
        <w:rPr>
          <w:rFonts w:hint="eastAsia"/>
          <w:sz w:val="24"/>
          <w:szCs w:val="22"/>
        </w:rPr>
        <w:t xml:space="preserve"> 噪声标准限值</w:t>
      </w:r>
    </w:p>
    <w:tbl>
      <w:tblPr>
        <w:tblStyle w:val="20"/>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2841"/>
        <w:gridCol w:w="2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840" w:type="dxa"/>
          </w:tcPr>
          <w:p>
            <w:pPr>
              <w:pStyle w:val="11"/>
              <w:ind w:firstLine="420"/>
              <w:rPr>
                <w:b w:val="0"/>
                <w:bCs/>
                <w:szCs w:val="21"/>
              </w:rPr>
            </w:pPr>
            <w:r>
              <w:rPr>
                <w:rFonts w:hint="eastAsia"/>
                <w:b w:val="0"/>
                <w:bCs/>
                <w:szCs w:val="21"/>
              </w:rPr>
              <w:t>声环境功能区类别</w:t>
            </w:r>
          </w:p>
        </w:tc>
        <w:tc>
          <w:tcPr>
            <w:tcW w:w="2841" w:type="dxa"/>
          </w:tcPr>
          <w:p>
            <w:pPr>
              <w:pStyle w:val="11"/>
              <w:ind w:firstLine="420"/>
              <w:rPr>
                <w:b w:val="0"/>
                <w:bCs/>
                <w:szCs w:val="21"/>
              </w:rPr>
            </w:pPr>
            <w:r>
              <w:rPr>
                <w:rFonts w:hint="eastAsia"/>
                <w:b w:val="0"/>
                <w:bCs/>
                <w:szCs w:val="21"/>
              </w:rPr>
              <w:t>昼间</w:t>
            </w:r>
          </w:p>
        </w:tc>
        <w:tc>
          <w:tcPr>
            <w:tcW w:w="2841" w:type="dxa"/>
          </w:tcPr>
          <w:p>
            <w:pPr>
              <w:pStyle w:val="11"/>
              <w:ind w:firstLine="420"/>
              <w:rPr>
                <w:b w:val="0"/>
                <w:bCs/>
                <w:szCs w:val="21"/>
              </w:rPr>
            </w:pPr>
            <w:r>
              <w:rPr>
                <w:rFonts w:hint="eastAsia"/>
                <w:b w:val="0"/>
                <w:bCs/>
                <w:szCs w:val="21"/>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840" w:type="dxa"/>
          </w:tcPr>
          <w:p>
            <w:pPr>
              <w:pStyle w:val="11"/>
              <w:ind w:firstLine="420"/>
              <w:rPr>
                <w:b w:val="0"/>
                <w:bCs/>
                <w:szCs w:val="21"/>
              </w:rPr>
            </w:pPr>
            <w:r>
              <w:rPr>
                <w:rFonts w:hint="eastAsia"/>
                <w:b w:val="0"/>
                <w:bCs/>
                <w:szCs w:val="21"/>
              </w:rPr>
              <w:t>2类</w:t>
            </w:r>
          </w:p>
        </w:tc>
        <w:tc>
          <w:tcPr>
            <w:tcW w:w="2841" w:type="dxa"/>
          </w:tcPr>
          <w:p>
            <w:pPr>
              <w:pStyle w:val="11"/>
              <w:ind w:firstLine="420"/>
              <w:rPr>
                <w:b w:val="0"/>
                <w:bCs/>
                <w:szCs w:val="21"/>
              </w:rPr>
            </w:pPr>
            <w:r>
              <w:rPr>
                <w:rFonts w:hint="eastAsia"/>
                <w:b w:val="0"/>
                <w:bCs/>
                <w:szCs w:val="21"/>
              </w:rPr>
              <w:t>60</w:t>
            </w:r>
          </w:p>
        </w:tc>
        <w:tc>
          <w:tcPr>
            <w:tcW w:w="2841" w:type="dxa"/>
          </w:tcPr>
          <w:p>
            <w:pPr>
              <w:pStyle w:val="11"/>
              <w:ind w:firstLine="420"/>
              <w:rPr>
                <w:b w:val="0"/>
                <w:bCs/>
                <w:szCs w:val="21"/>
              </w:rPr>
            </w:pPr>
            <w:r>
              <w:rPr>
                <w:rFonts w:hint="eastAsia"/>
                <w:b w:val="0"/>
                <w:bCs/>
                <w:szCs w:val="21"/>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840" w:type="dxa"/>
          </w:tcPr>
          <w:p>
            <w:pPr>
              <w:pStyle w:val="11"/>
              <w:ind w:firstLine="420"/>
              <w:rPr>
                <w:b w:val="0"/>
                <w:bCs/>
                <w:szCs w:val="21"/>
              </w:rPr>
            </w:pPr>
            <w:r>
              <w:rPr>
                <w:rFonts w:hint="eastAsia"/>
                <w:b w:val="0"/>
                <w:bCs/>
                <w:szCs w:val="21"/>
              </w:rPr>
              <w:t>4a类</w:t>
            </w:r>
          </w:p>
        </w:tc>
        <w:tc>
          <w:tcPr>
            <w:tcW w:w="2841" w:type="dxa"/>
          </w:tcPr>
          <w:p>
            <w:pPr>
              <w:pStyle w:val="11"/>
              <w:ind w:firstLine="420"/>
              <w:rPr>
                <w:b w:val="0"/>
                <w:bCs/>
                <w:szCs w:val="21"/>
              </w:rPr>
            </w:pPr>
            <w:r>
              <w:rPr>
                <w:rFonts w:hint="eastAsia"/>
                <w:b w:val="0"/>
                <w:bCs/>
                <w:szCs w:val="21"/>
              </w:rPr>
              <w:t>70</w:t>
            </w:r>
          </w:p>
        </w:tc>
        <w:tc>
          <w:tcPr>
            <w:tcW w:w="2841" w:type="dxa"/>
          </w:tcPr>
          <w:p>
            <w:pPr>
              <w:pStyle w:val="11"/>
              <w:ind w:firstLine="420"/>
              <w:rPr>
                <w:b w:val="0"/>
                <w:bCs/>
                <w:szCs w:val="21"/>
              </w:rPr>
            </w:pPr>
            <w:r>
              <w:rPr>
                <w:rFonts w:hint="eastAsia"/>
                <w:b w:val="0"/>
                <w:bCs/>
                <w:szCs w:val="21"/>
              </w:rPr>
              <w:t>55</w:t>
            </w:r>
          </w:p>
        </w:tc>
      </w:tr>
    </w:tbl>
    <w:p>
      <w:pPr>
        <w:pStyle w:val="6"/>
        <w:ind w:firstLine="0" w:firstLineChars="0"/>
      </w:pPr>
      <w:bookmarkStart w:id="104" w:name="_Toc957_WPSOffice_Level2"/>
      <w:bookmarkStart w:id="105" w:name="_Toc504574502"/>
      <w:bookmarkStart w:id="106" w:name="_Toc3175_WPSOffice_Level2"/>
      <w:bookmarkStart w:id="107" w:name="_Toc31102_WPSOffice_Level2"/>
      <w:bookmarkStart w:id="108" w:name="_Toc27726_WPSOffice_Level2"/>
      <w:bookmarkStart w:id="109" w:name="_Toc15994_WPSOffice_Level2"/>
      <w:r>
        <w:rPr>
          <w:rFonts w:hint="eastAsia"/>
        </w:rPr>
        <w:t>6.3 总量控制要求</w:t>
      </w:r>
      <w:bookmarkEnd w:id="104"/>
      <w:bookmarkEnd w:id="105"/>
      <w:bookmarkEnd w:id="106"/>
      <w:bookmarkEnd w:id="107"/>
      <w:bookmarkEnd w:id="108"/>
      <w:bookmarkEnd w:id="109"/>
    </w:p>
    <w:p>
      <w:pPr>
        <w:ind w:firstLine="560"/>
      </w:pPr>
      <w:r>
        <w:rPr>
          <w:rFonts w:hint="eastAsia"/>
        </w:rPr>
        <w:t>本项目预测排放总量：</w:t>
      </w:r>
    </w:p>
    <w:p>
      <w:pPr>
        <w:ind w:firstLine="560"/>
      </w:pPr>
      <w:r>
        <w:rPr>
          <w:rFonts w:hint="eastAsia"/>
        </w:rPr>
        <w:t>1.本项目排放的污水中，COD、氨氮的排放总量分别为73.49t/a、6.30t/a，经污水处理厂处理后，最终排入环境的COD、氨氮总量分别为12.60t/a、1.68t/a，项目COD、氨氮排放总量纳入诸城市昌城污水处理厂总量指标内。</w:t>
      </w:r>
    </w:p>
    <w:p>
      <w:pPr>
        <w:pStyle w:val="23"/>
        <w:ind w:firstLine="480"/>
        <w:rPr>
          <w:szCs w:val="24"/>
        </w:rPr>
      </w:pPr>
    </w:p>
    <w:p>
      <w:pPr>
        <w:pStyle w:val="23"/>
        <w:ind w:firstLine="480"/>
        <w:rPr>
          <w:szCs w:val="24"/>
        </w:rPr>
        <w:sectPr>
          <w:pgSz w:w="11906" w:h="16838"/>
          <w:pgMar w:top="1440" w:right="1800" w:bottom="1440" w:left="1800" w:header="851" w:footer="992" w:gutter="0"/>
          <w:cols w:space="425" w:num="1"/>
          <w:docGrid w:type="lines" w:linePitch="312" w:charSpace="0"/>
        </w:sectPr>
      </w:pPr>
    </w:p>
    <w:p>
      <w:pPr>
        <w:pStyle w:val="5"/>
      </w:pPr>
      <w:bookmarkStart w:id="110" w:name="_Toc28660_WPSOffice_Level1"/>
      <w:bookmarkStart w:id="111" w:name="_Toc26500_WPSOffice_Level1"/>
      <w:r>
        <w:rPr>
          <w:rFonts w:hint="eastAsia"/>
        </w:rPr>
        <w:t>七、</w:t>
      </w:r>
      <w:r>
        <w:t>验收监测内容</w:t>
      </w:r>
      <w:bookmarkEnd w:id="110"/>
      <w:bookmarkEnd w:id="111"/>
    </w:p>
    <w:p>
      <w:pPr>
        <w:ind w:firstLine="560"/>
        <w:rPr>
          <w:rFonts w:ascii="宋体" w:hAnsi="宋体" w:cs="宋体"/>
        </w:rPr>
      </w:pPr>
      <w:r>
        <w:rPr>
          <w:rFonts w:hint="eastAsia" w:ascii="宋体" w:hAnsi="宋体" w:cs="宋体"/>
        </w:rPr>
        <w:t>按照本项目登记表的要求，根据本项目的具体情况，结合现场勘查，编制了验收监测实施方案，2018年5月1日-5月2日对本项目进行了现场监测及检查，验收监测内容如下：</w:t>
      </w:r>
    </w:p>
    <w:p>
      <w:pPr>
        <w:pStyle w:val="6"/>
        <w:ind w:firstLine="0" w:firstLineChars="0"/>
      </w:pPr>
      <w:bookmarkStart w:id="112" w:name="_Toc11715_WPSOffice_Level2"/>
      <w:bookmarkStart w:id="113" w:name="_Toc13946_WPSOffice_Level2"/>
      <w:r>
        <w:rPr>
          <w:rFonts w:hint="eastAsia"/>
        </w:rPr>
        <w:t>7.1</w:t>
      </w:r>
      <w:r>
        <w:t>环境保护设施调试效果</w:t>
      </w:r>
      <w:bookmarkEnd w:id="112"/>
      <w:bookmarkEnd w:id="113"/>
    </w:p>
    <w:p>
      <w:pPr>
        <w:ind w:firstLine="560"/>
        <w:rPr>
          <w:rFonts w:ascii="宋体" w:hAnsi="宋体" w:cs="宋体"/>
        </w:rPr>
      </w:pPr>
      <w:bookmarkStart w:id="114" w:name="_Toc23174_WPSOffice_Level3"/>
      <w:r>
        <w:rPr>
          <w:rFonts w:hint="eastAsia" w:ascii="宋体" w:hAnsi="宋体" w:cs="宋体"/>
        </w:rPr>
        <w:t>（1）废水</w:t>
      </w:r>
      <w:bookmarkEnd w:id="114"/>
    </w:p>
    <w:p>
      <w:pPr>
        <w:ind w:firstLine="560"/>
        <w:rPr>
          <w:rFonts w:ascii="宋体" w:hAnsi="宋体" w:cs="宋体"/>
        </w:rPr>
      </w:pPr>
      <w:r>
        <w:rPr>
          <w:rFonts w:hint="eastAsia" w:ascii="宋体" w:hAnsi="宋体" w:cs="宋体"/>
        </w:rPr>
        <w:t>项目废水监测内容及频次见表7-1。</w:t>
      </w:r>
    </w:p>
    <w:p>
      <w:pPr>
        <w:ind w:firstLine="480"/>
        <w:jc w:val="center"/>
        <w:rPr>
          <w:rFonts w:ascii="宋体" w:hAnsi="宋体" w:cs="宋体"/>
          <w:sz w:val="24"/>
          <w:szCs w:val="22"/>
        </w:rPr>
      </w:pPr>
      <w:bookmarkStart w:id="115" w:name="_Toc22452_WPSOffice_Level2"/>
      <w:r>
        <w:rPr>
          <w:rFonts w:hint="eastAsia" w:ascii="宋体" w:hAnsi="宋体" w:cs="宋体"/>
          <w:sz w:val="24"/>
          <w:szCs w:val="22"/>
        </w:rPr>
        <w:t>表7-2噪声监测内容及频次</w:t>
      </w:r>
      <w:bookmarkEnd w:id="115"/>
    </w:p>
    <w:tbl>
      <w:tblPr>
        <w:tblStyle w:val="20"/>
        <w:tblW w:w="8787"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929"/>
        <w:gridCol w:w="2929"/>
        <w:gridCol w:w="292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2929" w:type="dxa"/>
            <w:tcBorders>
              <w:tl2br w:val="nil"/>
              <w:tr2bl w:val="nil"/>
            </w:tcBorders>
            <w:vAlign w:val="center"/>
          </w:tcPr>
          <w:p>
            <w:pPr>
              <w:ind w:firstLine="480"/>
              <w:jc w:val="center"/>
              <w:rPr>
                <w:bCs/>
                <w:sz w:val="24"/>
              </w:rPr>
            </w:pPr>
            <w:r>
              <w:rPr>
                <w:rFonts w:hint="eastAsia"/>
                <w:bCs/>
                <w:sz w:val="24"/>
              </w:rPr>
              <w:t>监测点位</w:t>
            </w:r>
          </w:p>
        </w:tc>
        <w:tc>
          <w:tcPr>
            <w:tcW w:w="2929" w:type="dxa"/>
            <w:tcBorders>
              <w:tl2br w:val="nil"/>
              <w:tr2bl w:val="nil"/>
            </w:tcBorders>
            <w:vAlign w:val="center"/>
          </w:tcPr>
          <w:p>
            <w:pPr>
              <w:ind w:firstLine="480"/>
              <w:jc w:val="center"/>
              <w:rPr>
                <w:bCs/>
                <w:sz w:val="24"/>
              </w:rPr>
            </w:pPr>
            <w:r>
              <w:rPr>
                <w:rFonts w:hint="eastAsia"/>
                <w:bCs/>
                <w:sz w:val="24"/>
              </w:rPr>
              <w:t>监测因子</w:t>
            </w:r>
          </w:p>
        </w:tc>
        <w:tc>
          <w:tcPr>
            <w:tcW w:w="2929" w:type="dxa"/>
            <w:tcBorders>
              <w:tl2br w:val="nil"/>
              <w:tr2bl w:val="nil"/>
            </w:tcBorders>
            <w:vAlign w:val="center"/>
          </w:tcPr>
          <w:p>
            <w:pPr>
              <w:ind w:firstLine="480"/>
              <w:jc w:val="center"/>
              <w:rPr>
                <w:bCs/>
                <w:sz w:val="24"/>
              </w:rPr>
            </w:pPr>
            <w:r>
              <w:rPr>
                <w:rFonts w:hint="eastAsia"/>
                <w:bCs/>
                <w:sz w:val="24"/>
              </w:rPr>
              <w:t>监测频次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2929" w:type="dxa"/>
            <w:tcBorders>
              <w:tl2br w:val="nil"/>
              <w:tr2bl w:val="nil"/>
            </w:tcBorders>
            <w:vAlign w:val="center"/>
          </w:tcPr>
          <w:p>
            <w:pPr>
              <w:ind w:firstLine="480"/>
              <w:jc w:val="center"/>
              <w:rPr>
                <w:bCs/>
                <w:sz w:val="24"/>
              </w:rPr>
            </w:pPr>
            <w:r>
              <w:rPr>
                <w:rFonts w:hint="eastAsia"/>
                <w:bCs/>
                <w:sz w:val="24"/>
              </w:rPr>
              <w:t>厂区污水总排口</w:t>
            </w:r>
          </w:p>
        </w:tc>
        <w:tc>
          <w:tcPr>
            <w:tcW w:w="2929" w:type="dxa"/>
            <w:tcBorders>
              <w:tl2br w:val="nil"/>
              <w:tr2bl w:val="nil"/>
            </w:tcBorders>
            <w:vAlign w:val="center"/>
          </w:tcPr>
          <w:p>
            <w:pPr>
              <w:pStyle w:val="13"/>
              <w:adjustRightInd w:val="0"/>
              <w:snapToGrid w:val="0"/>
              <w:ind w:firstLine="480"/>
              <w:jc w:val="center"/>
              <w:rPr>
                <w:bCs/>
                <w:sz w:val="24"/>
              </w:rPr>
            </w:pPr>
            <w:r>
              <w:rPr>
                <w:rFonts w:hint="eastAsia" w:hAnsi="宋体"/>
                <w:bCs/>
                <w:sz w:val="24"/>
              </w:rPr>
              <w:t>PH值、COD、氨氮、悬浮物、五日生化需氧量</w:t>
            </w:r>
          </w:p>
        </w:tc>
        <w:tc>
          <w:tcPr>
            <w:tcW w:w="2929" w:type="dxa"/>
            <w:tcBorders>
              <w:tl2br w:val="nil"/>
              <w:tr2bl w:val="nil"/>
            </w:tcBorders>
            <w:vAlign w:val="center"/>
          </w:tcPr>
          <w:p>
            <w:pPr>
              <w:ind w:firstLine="0" w:firstLineChars="0"/>
              <w:jc w:val="both"/>
              <w:rPr>
                <w:bCs/>
                <w:sz w:val="24"/>
              </w:rPr>
            </w:pPr>
            <w:r>
              <w:rPr>
                <w:rFonts w:hint="eastAsia"/>
                <w:bCs/>
                <w:sz w:val="24"/>
              </w:rPr>
              <w:t>每天昼间1次，连续2天</w:t>
            </w:r>
          </w:p>
        </w:tc>
      </w:tr>
    </w:tbl>
    <w:p>
      <w:pPr>
        <w:ind w:firstLine="560"/>
        <w:rPr>
          <w:rFonts w:ascii="宋体" w:hAnsi="宋体" w:cs="宋体"/>
        </w:rPr>
      </w:pPr>
      <w:bookmarkStart w:id="116" w:name="_Toc22647_WPSOffice_Level2"/>
      <w:bookmarkStart w:id="117" w:name="_Toc7920_WPSOffice_Level2"/>
      <w:bookmarkStart w:id="118" w:name="_Toc13338_WPSOffice_Level3"/>
      <w:bookmarkStart w:id="119" w:name="_Toc15171_WPSOffice_Level2"/>
      <w:r>
        <w:rPr>
          <w:rFonts w:hint="eastAsia" w:ascii="宋体" w:hAnsi="宋体" w:cs="宋体"/>
        </w:rPr>
        <w:t>（2）噪声</w:t>
      </w:r>
      <w:bookmarkEnd w:id="116"/>
      <w:bookmarkEnd w:id="117"/>
      <w:bookmarkEnd w:id="118"/>
      <w:bookmarkEnd w:id="119"/>
    </w:p>
    <w:p>
      <w:pPr>
        <w:ind w:firstLine="560"/>
        <w:rPr>
          <w:rFonts w:ascii="宋体" w:hAnsi="宋体" w:cs="宋体"/>
        </w:rPr>
      </w:pPr>
      <w:r>
        <w:rPr>
          <w:rFonts w:hint="eastAsia" w:ascii="宋体" w:hAnsi="宋体" w:cs="宋体"/>
        </w:rPr>
        <w:t>项目噪声监测内容及频次见表7-2。</w:t>
      </w:r>
    </w:p>
    <w:p>
      <w:pPr>
        <w:ind w:firstLine="480"/>
        <w:jc w:val="center"/>
        <w:rPr>
          <w:rFonts w:ascii="宋体" w:hAnsi="宋体" w:cs="宋体"/>
          <w:sz w:val="24"/>
          <w:szCs w:val="22"/>
        </w:rPr>
      </w:pPr>
      <w:bookmarkStart w:id="120" w:name="_Toc25246_WPSOffice_Level2"/>
      <w:bookmarkStart w:id="121" w:name="_Toc19441_WPSOffice_Level3"/>
      <w:bookmarkStart w:id="122" w:name="_Toc32384_WPSOffice_Level2"/>
      <w:bookmarkStart w:id="123" w:name="_Toc21010_WPSOffice_Level2"/>
      <w:r>
        <w:rPr>
          <w:rFonts w:hint="eastAsia" w:ascii="宋体" w:hAnsi="宋体" w:cs="宋体"/>
          <w:sz w:val="24"/>
          <w:szCs w:val="22"/>
        </w:rPr>
        <w:t>表7-2噪声监测内容及频次</w:t>
      </w:r>
      <w:bookmarkEnd w:id="120"/>
      <w:bookmarkEnd w:id="121"/>
      <w:bookmarkEnd w:id="122"/>
      <w:bookmarkEnd w:id="123"/>
    </w:p>
    <w:tbl>
      <w:tblPr>
        <w:tblStyle w:val="20"/>
        <w:tblW w:w="8787"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929"/>
        <w:gridCol w:w="2929"/>
        <w:gridCol w:w="292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2929" w:type="dxa"/>
            <w:tcBorders>
              <w:tl2br w:val="nil"/>
              <w:tr2bl w:val="nil"/>
            </w:tcBorders>
            <w:vAlign w:val="center"/>
          </w:tcPr>
          <w:p>
            <w:pPr>
              <w:ind w:firstLine="480"/>
              <w:jc w:val="center"/>
              <w:rPr>
                <w:bCs/>
                <w:sz w:val="24"/>
              </w:rPr>
            </w:pPr>
            <w:r>
              <w:rPr>
                <w:rFonts w:hint="eastAsia"/>
                <w:bCs/>
                <w:sz w:val="24"/>
              </w:rPr>
              <w:t>监测点位</w:t>
            </w:r>
          </w:p>
        </w:tc>
        <w:tc>
          <w:tcPr>
            <w:tcW w:w="2929" w:type="dxa"/>
            <w:tcBorders>
              <w:tl2br w:val="nil"/>
              <w:tr2bl w:val="nil"/>
            </w:tcBorders>
            <w:vAlign w:val="center"/>
          </w:tcPr>
          <w:p>
            <w:pPr>
              <w:ind w:firstLine="480"/>
              <w:jc w:val="center"/>
              <w:rPr>
                <w:bCs/>
                <w:sz w:val="24"/>
              </w:rPr>
            </w:pPr>
            <w:r>
              <w:rPr>
                <w:rFonts w:hint="eastAsia"/>
                <w:bCs/>
                <w:sz w:val="24"/>
              </w:rPr>
              <w:t>监测因子</w:t>
            </w:r>
          </w:p>
        </w:tc>
        <w:tc>
          <w:tcPr>
            <w:tcW w:w="2929" w:type="dxa"/>
            <w:tcBorders>
              <w:tl2br w:val="nil"/>
              <w:tr2bl w:val="nil"/>
            </w:tcBorders>
            <w:vAlign w:val="center"/>
          </w:tcPr>
          <w:p>
            <w:pPr>
              <w:ind w:firstLine="480"/>
              <w:jc w:val="center"/>
              <w:rPr>
                <w:bCs/>
                <w:sz w:val="24"/>
              </w:rPr>
            </w:pPr>
            <w:r>
              <w:rPr>
                <w:rFonts w:hint="eastAsia"/>
                <w:bCs/>
                <w:sz w:val="24"/>
              </w:rPr>
              <w:t>监测频次</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2929" w:type="dxa"/>
            <w:tcBorders>
              <w:tl2br w:val="nil"/>
              <w:tr2bl w:val="nil"/>
            </w:tcBorders>
            <w:vAlign w:val="center"/>
          </w:tcPr>
          <w:p>
            <w:pPr>
              <w:ind w:firstLine="480"/>
              <w:jc w:val="center"/>
              <w:rPr>
                <w:bCs/>
                <w:sz w:val="24"/>
              </w:rPr>
            </w:pPr>
            <w:r>
              <w:rPr>
                <w:rFonts w:hint="eastAsia"/>
                <w:bCs/>
                <w:sz w:val="24"/>
              </w:rPr>
              <w:t>四周厂界外1m处</w:t>
            </w:r>
          </w:p>
        </w:tc>
        <w:tc>
          <w:tcPr>
            <w:tcW w:w="2929" w:type="dxa"/>
            <w:tcBorders>
              <w:tl2br w:val="nil"/>
              <w:tr2bl w:val="nil"/>
            </w:tcBorders>
            <w:vAlign w:val="center"/>
          </w:tcPr>
          <w:p>
            <w:pPr>
              <w:ind w:firstLine="480"/>
              <w:jc w:val="center"/>
              <w:rPr>
                <w:bCs/>
                <w:sz w:val="24"/>
              </w:rPr>
            </w:pPr>
            <w:r>
              <w:rPr>
                <w:rFonts w:hint="eastAsia"/>
                <w:bCs/>
                <w:sz w:val="24"/>
              </w:rPr>
              <w:t>连续等效A声级</w:t>
            </w:r>
          </w:p>
        </w:tc>
        <w:tc>
          <w:tcPr>
            <w:tcW w:w="2929" w:type="dxa"/>
            <w:tcBorders>
              <w:tl2br w:val="nil"/>
              <w:tr2bl w:val="nil"/>
            </w:tcBorders>
            <w:vAlign w:val="center"/>
          </w:tcPr>
          <w:p>
            <w:pPr>
              <w:ind w:firstLine="480"/>
              <w:jc w:val="center"/>
              <w:rPr>
                <w:bCs/>
                <w:sz w:val="24"/>
              </w:rPr>
            </w:pPr>
            <w:r>
              <w:rPr>
                <w:rFonts w:hint="eastAsia"/>
                <w:bCs/>
                <w:sz w:val="24"/>
              </w:rPr>
              <w:t>每天昼间1次，连续2天</w:t>
            </w:r>
          </w:p>
        </w:tc>
      </w:tr>
    </w:tbl>
    <w:p>
      <w:pPr>
        <w:pStyle w:val="6"/>
        <w:ind w:firstLine="0" w:firstLineChars="0"/>
      </w:pPr>
      <w:bookmarkStart w:id="124" w:name="_Toc12785_WPSOffice_Level2"/>
      <w:bookmarkStart w:id="125" w:name="_Toc6377_WPSOffice_Level2"/>
      <w:bookmarkStart w:id="126" w:name="_Toc19443_WPSOffice_Level2"/>
      <w:bookmarkStart w:id="127" w:name="_Toc11315_WPSOffice_Level2"/>
      <w:bookmarkStart w:id="128" w:name="_Toc7595_WPSOffice_Level2"/>
      <w:r>
        <w:rPr>
          <w:rFonts w:hint="eastAsia"/>
        </w:rPr>
        <w:t>7.2 环境质量监测</w:t>
      </w:r>
      <w:bookmarkEnd w:id="124"/>
      <w:bookmarkEnd w:id="125"/>
      <w:bookmarkEnd w:id="126"/>
      <w:bookmarkEnd w:id="127"/>
      <w:bookmarkEnd w:id="128"/>
    </w:p>
    <w:p>
      <w:pPr>
        <w:ind w:firstLine="560"/>
        <w:sectPr>
          <w:pgSz w:w="11906" w:h="16838"/>
          <w:pgMar w:top="1440" w:right="1800" w:bottom="1440" w:left="1800" w:header="851" w:footer="992" w:gutter="0"/>
          <w:cols w:space="425" w:num="1"/>
          <w:docGrid w:type="lines" w:linePitch="312" w:charSpace="0"/>
        </w:sectPr>
      </w:pPr>
      <w:r>
        <w:rPr>
          <w:rFonts w:hint="eastAsia"/>
        </w:rPr>
        <w:t>经核查，在范围内，无工业企业等污染源，故不进行环境质量监测。</w:t>
      </w:r>
    </w:p>
    <w:p>
      <w:pPr>
        <w:pStyle w:val="5"/>
      </w:pPr>
      <w:bookmarkStart w:id="129" w:name="_Toc28036_WPSOffice_Level1"/>
      <w:bookmarkStart w:id="130" w:name="_Toc17953_WPSOffice_Level1"/>
      <w:r>
        <w:rPr>
          <w:rFonts w:hint="eastAsia"/>
        </w:rPr>
        <w:t>八、</w:t>
      </w:r>
      <w:r>
        <w:t>质量保证及质量控制</w:t>
      </w:r>
      <w:bookmarkEnd w:id="129"/>
      <w:bookmarkEnd w:id="130"/>
    </w:p>
    <w:p>
      <w:pPr>
        <w:pStyle w:val="6"/>
        <w:ind w:firstLine="562"/>
      </w:pPr>
      <w:bookmarkStart w:id="131" w:name="_Toc496628956"/>
      <w:bookmarkStart w:id="132" w:name="_Toc6313_WPSOffice_Level2"/>
      <w:bookmarkStart w:id="133" w:name="_Toc509998953"/>
      <w:bookmarkStart w:id="134" w:name="_Toc20816_WPSOffice_Level2"/>
      <w:r>
        <w:rPr>
          <w:rFonts w:hint="eastAsia"/>
        </w:rPr>
        <w:t>8.1监测分析方法</w:t>
      </w:r>
      <w:bookmarkEnd w:id="131"/>
      <w:bookmarkEnd w:id="132"/>
      <w:bookmarkEnd w:id="133"/>
      <w:bookmarkEnd w:id="134"/>
    </w:p>
    <w:p>
      <w:pPr>
        <w:ind w:firstLine="560"/>
        <w:rPr>
          <w:szCs w:val="28"/>
        </w:rPr>
      </w:pPr>
      <w:r>
        <w:rPr>
          <w:rFonts w:hint="eastAsia"/>
          <w:szCs w:val="28"/>
        </w:rPr>
        <w:t>验收监测期间，各污染因子监测分析方法见8-1。</w:t>
      </w:r>
    </w:p>
    <w:p>
      <w:pPr>
        <w:adjustRightInd w:val="0"/>
        <w:snapToGrid w:val="0"/>
        <w:ind w:firstLine="480"/>
        <w:jc w:val="center"/>
        <w:rPr>
          <w:bCs/>
          <w:sz w:val="24"/>
        </w:rPr>
      </w:pPr>
      <w:bookmarkStart w:id="135" w:name="_Toc20678_WPSOffice_Level2"/>
      <w:bookmarkStart w:id="136" w:name="_Toc6674_WPSOffice_Level2"/>
      <w:bookmarkStart w:id="137" w:name="_Toc6535_WPSOffice_Level3"/>
      <w:bookmarkStart w:id="138" w:name="_Toc18258_WPSOffice_Level2"/>
      <w:r>
        <w:rPr>
          <w:rFonts w:hint="eastAsia"/>
          <w:bCs/>
          <w:sz w:val="24"/>
        </w:rPr>
        <w:t>表8-1 分析方法</w:t>
      </w:r>
      <w:bookmarkEnd w:id="135"/>
      <w:bookmarkEnd w:id="136"/>
      <w:bookmarkEnd w:id="137"/>
      <w:bookmarkEnd w:id="138"/>
    </w:p>
    <w:tbl>
      <w:tblPr>
        <w:tblStyle w:val="20"/>
        <w:tblW w:w="8787"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52"/>
        <w:gridCol w:w="1363"/>
        <w:gridCol w:w="1886"/>
        <w:gridCol w:w="1909"/>
        <w:gridCol w:w="247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jc w:val="center"/>
        </w:trPr>
        <w:tc>
          <w:tcPr>
            <w:tcW w:w="1152" w:type="dxa"/>
            <w:tcBorders>
              <w:tl2br w:val="nil"/>
              <w:tr2bl w:val="nil"/>
            </w:tcBorders>
            <w:vAlign w:val="center"/>
          </w:tcPr>
          <w:p>
            <w:pPr>
              <w:pStyle w:val="26"/>
            </w:pPr>
            <w:r>
              <w:rPr>
                <w:rFonts w:hint="eastAsia"/>
              </w:rPr>
              <w:t>类别</w:t>
            </w:r>
          </w:p>
        </w:tc>
        <w:tc>
          <w:tcPr>
            <w:tcW w:w="1363" w:type="dxa"/>
            <w:tcBorders>
              <w:tl2br w:val="nil"/>
              <w:tr2bl w:val="nil"/>
            </w:tcBorders>
            <w:vAlign w:val="center"/>
          </w:tcPr>
          <w:p>
            <w:pPr>
              <w:pStyle w:val="26"/>
            </w:pPr>
            <w:r>
              <w:rPr>
                <w:rFonts w:hint="eastAsia"/>
              </w:rPr>
              <w:t>监测项目</w:t>
            </w:r>
          </w:p>
        </w:tc>
        <w:tc>
          <w:tcPr>
            <w:tcW w:w="1886" w:type="dxa"/>
            <w:tcBorders>
              <w:tl2br w:val="nil"/>
              <w:tr2bl w:val="nil"/>
            </w:tcBorders>
            <w:vAlign w:val="center"/>
          </w:tcPr>
          <w:p>
            <w:pPr>
              <w:pStyle w:val="26"/>
            </w:pPr>
            <w:r>
              <w:rPr>
                <w:rFonts w:hint="eastAsia"/>
              </w:rPr>
              <w:t>分析方法</w:t>
            </w:r>
          </w:p>
        </w:tc>
        <w:tc>
          <w:tcPr>
            <w:tcW w:w="1909" w:type="dxa"/>
            <w:tcBorders>
              <w:tl2br w:val="nil"/>
              <w:tr2bl w:val="nil"/>
            </w:tcBorders>
            <w:vAlign w:val="center"/>
          </w:tcPr>
          <w:p>
            <w:pPr>
              <w:pStyle w:val="26"/>
            </w:pPr>
            <w:r>
              <w:rPr>
                <w:rFonts w:hint="eastAsia"/>
              </w:rPr>
              <w:t>方法依据</w:t>
            </w:r>
          </w:p>
        </w:tc>
        <w:tc>
          <w:tcPr>
            <w:tcW w:w="2477" w:type="dxa"/>
            <w:tcBorders>
              <w:tl2br w:val="nil"/>
              <w:tr2bl w:val="nil"/>
            </w:tcBorders>
            <w:vAlign w:val="center"/>
          </w:tcPr>
          <w:p>
            <w:pPr>
              <w:pStyle w:val="26"/>
            </w:pPr>
            <w:r>
              <w:rPr>
                <w:rFonts w:hint="eastAsia"/>
              </w:rPr>
              <w:t>使用仪器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jc w:val="center"/>
        </w:trPr>
        <w:tc>
          <w:tcPr>
            <w:tcW w:w="1152" w:type="dxa"/>
            <w:vMerge w:val="restart"/>
            <w:tcBorders>
              <w:tl2br w:val="nil"/>
              <w:tr2bl w:val="nil"/>
            </w:tcBorders>
            <w:vAlign w:val="center"/>
          </w:tcPr>
          <w:p>
            <w:pPr>
              <w:pStyle w:val="26"/>
            </w:pPr>
            <w:r>
              <w:rPr>
                <w:rFonts w:hint="eastAsia"/>
              </w:rPr>
              <w:t>废水</w:t>
            </w:r>
          </w:p>
        </w:tc>
        <w:tc>
          <w:tcPr>
            <w:tcW w:w="1363" w:type="dxa"/>
            <w:tcBorders>
              <w:tl2br w:val="nil"/>
              <w:tr2bl w:val="nil"/>
            </w:tcBorders>
            <w:vAlign w:val="center"/>
          </w:tcPr>
          <w:p>
            <w:pPr>
              <w:pStyle w:val="26"/>
            </w:pPr>
            <w:r>
              <w:rPr>
                <w:rFonts w:hint="eastAsia"/>
              </w:rPr>
              <w:t>pH值</w:t>
            </w:r>
          </w:p>
        </w:tc>
        <w:tc>
          <w:tcPr>
            <w:tcW w:w="1886" w:type="dxa"/>
            <w:tcBorders>
              <w:tl2br w:val="nil"/>
              <w:tr2bl w:val="nil"/>
            </w:tcBorders>
            <w:vAlign w:val="center"/>
          </w:tcPr>
          <w:p>
            <w:pPr>
              <w:pStyle w:val="26"/>
            </w:pPr>
            <w:r>
              <w:rPr>
                <w:rFonts w:hint="eastAsia"/>
              </w:rPr>
              <w:t>玻璃电极法</w:t>
            </w:r>
          </w:p>
        </w:tc>
        <w:tc>
          <w:tcPr>
            <w:tcW w:w="1909" w:type="dxa"/>
            <w:tcBorders>
              <w:tl2br w:val="nil"/>
              <w:tr2bl w:val="nil"/>
            </w:tcBorders>
            <w:vAlign w:val="center"/>
          </w:tcPr>
          <w:p>
            <w:pPr>
              <w:pStyle w:val="26"/>
            </w:pPr>
            <w:r>
              <w:rPr>
                <w:rFonts w:hint="eastAsia"/>
              </w:rPr>
              <w:t>GB/T 15432-1995</w:t>
            </w:r>
          </w:p>
        </w:tc>
        <w:tc>
          <w:tcPr>
            <w:tcW w:w="2477" w:type="dxa"/>
            <w:tcBorders>
              <w:tl2br w:val="nil"/>
              <w:tr2bl w:val="nil"/>
            </w:tcBorders>
            <w:vAlign w:val="center"/>
          </w:tcPr>
          <w:p>
            <w:pPr>
              <w:pStyle w:val="26"/>
            </w:pPr>
            <w:r>
              <w:rPr>
                <w:rFonts w:hint="eastAsia"/>
              </w:rPr>
              <w:t>酸度计</w:t>
            </w:r>
          </w:p>
          <w:p>
            <w:pPr>
              <w:pStyle w:val="26"/>
            </w:pPr>
            <w:r>
              <w:rPr>
                <w:rFonts w:hint="eastAsia"/>
              </w:rPr>
              <w:t xml:space="preserve"> XRJC-YQ-020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jc w:val="center"/>
        </w:trPr>
        <w:tc>
          <w:tcPr>
            <w:tcW w:w="1152" w:type="dxa"/>
            <w:vMerge w:val="continue"/>
            <w:tcBorders>
              <w:tl2br w:val="nil"/>
              <w:tr2bl w:val="nil"/>
            </w:tcBorders>
            <w:vAlign w:val="center"/>
          </w:tcPr>
          <w:p>
            <w:pPr>
              <w:pStyle w:val="26"/>
            </w:pPr>
          </w:p>
        </w:tc>
        <w:tc>
          <w:tcPr>
            <w:tcW w:w="1363" w:type="dxa"/>
            <w:tcBorders>
              <w:tl2br w:val="nil"/>
              <w:tr2bl w:val="nil"/>
            </w:tcBorders>
            <w:vAlign w:val="center"/>
          </w:tcPr>
          <w:p>
            <w:pPr>
              <w:pStyle w:val="26"/>
            </w:pPr>
            <w:r>
              <w:rPr>
                <w:rFonts w:hint="eastAsia"/>
              </w:rPr>
              <w:t>五日生化需氧量</w:t>
            </w:r>
          </w:p>
        </w:tc>
        <w:tc>
          <w:tcPr>
            <w:tcW w:w="1886" w:type="dxa"/>
            <w:tcBorders>
              <w:tl2br w:val="nil"/>
              <w:tr2bl w:val="nil"/>
            </w:tcBorders>
            <w:vAlign w:val="center"/>
          </w:tcPr>
          <w:p>
            <w:pPr>
              <w:pStyle w:val="26"/>
            </w:pPr>
            <w:r>
              <w:rPr>
                <w:rFonts w:hint="eastAsia"/>
              </w:rPr>
              <w:t>稀释与接种法</w:t>
            </w:r>
          </w:p>
        </w:tc>
        <w:tc>
          <w:tcPr>
            <w:tcW w:w="1909" w:type="dxa"/>
            <w:tcBorders>
              <w:tl2br w:val="nil"/>
              <w:tr2bl w:val="nil"/>
            </w:tcBorders>
            <w:vAlign w:val="center"/>
          </w:tcPr>
          <w:p>
            <w:pPr>
              <w:pStyle w:val="26"/>
            </w:pPr>
            <w:r>
              <w:rPr>
                <w:rFonts w:hint="eastAsia"/>
              </w:rPr>
              <w:t>GB/T 6920-1986</w:t>
            </w:r>
          </w:p>
        </w:tc>
        <w:tc>
          <w:tcPr>
            <w:tcW w:w="2477" w:type="dxa"/>
            <w:tcBorders>
              <w:tl2br w:val="nil"/>
              <w:tr2bl w:val="nil"/>
            </w:tcBorders>
            <w:vAlign w:val="center"/>
          </w:tcPr>
          <w:p>
            <w:pPr>
              <w:pStyle w:val="26"/>
            </w:pPr>
            <w:r>
              <w:rPr>
                <w:rFonts w:hint="eastAsia"/>
              </w:rPr>
              <w:t>COD恒温加热器</w:t>
            </w:r>
          </w:p>
          <w:p>
            <w:pPr>
              <w:pStyle w:val="26"/>
            </w:pPr>
            <w:r>
              <w:rPr>
                <w:rFonts w:hint="eastAsia"/>
              </w:rPr>
              <w:t>XRJC-YQ-075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jc w:val="center"/>
        </w:trPr>
        <w:tc>
          <w:tcPr>
            <w:tcW w:w="1152" w:type="dxa"/>
            <w:vMerge w:val="continue"/>
            <w:tcBorders>
              <w:tl2br w:val="nil"/>
              <w:tr2bl w:val="nil"/>
            </w:tcBorders>
            <w:vAlign w:val="center"/>
          </w:tcPr>
          <w:p>
            <w:pPr>
              <w:pStyle w:val="26"/>
            </w:pPr>
          </w:p>
        </w:tc>
        <w:tc>
          <w:tcPr>
            <w:tcW w:w="1363" w:type="dxa"/>
            <w:tcBorders>
              <w:tl2br w:val="nil"/>
              <w:tr2bl w:val="nil"/>
            </w:tcBorders>
            <w:vAlign w:val="center"/>
          </w:tcPr>
          <w:p>
            <w:pPr>
              <w:pStyle w:val="26"/>
            </w:pPr>
            <w:r>
              <w:rPr>
                <w:rFonts w:hint="eastAsia"/>
              </w:rPr>
              <w:t>化学需氧量</w:t>
            </w:r>
          </w:p>
        </w:tc>
        <w:tc>
          <w:tcPr>
            <w:tcW w:w="1886" w:type="dxa"/>
            <w:tcBorders>
              <w:tl2br w:val="nil"/>
              <w:tr2bl w:val="nil"/>
            </w:tcBorders>
            <w:vAlign w:val="center"/>
          </w:tcPr>
          <w:p>
            <w:pPr>
              <w:pStyle w:val="26"/>
            </w:pPr>
            <w:r>
              <w:rPr>
                <w:rFonts w:hint="eastAsia"/>
              </w:rPr>
              <w:t>重铬酸盐法</w:t>
            </w:r>
          </w:p>
        </w:tc>
        <w:tc>
          <w:tcPr>
            <w:tcW w:w="1909" w:type="dxa"/>
            <w:tcBorders>
              <w:tl2br w:val="nil"/>
              <w:tr2bl w:val="nil"/>
            </w:tcBorders>
            <w:vAlign w:val="center"/>
          </w:tcPr>
          <w:p>
            <w:pPr>
              <w:pStyle w:val="26"/>
            </w:pPr>
            <w:r>
              <w:rPr>
                <w:rFonts w:hint="eastAsia"/>
              </w:rPr>
              <w:t>HJ 505-2009</w:t>
            </w:r>
          </w:p>
        </w:tc>
        <w:tc>
          <w:tcPr>
            <w:tcW w:w="2477" w:type="dxa"/>
            <w:tcBorders>
              <w:tl2br w:val="nil"/>
              <w:tr2bl w:val="nil"/>
            </w:tcBorders>
            <w:vAlign w:val="center"/>
          </w:tcPr>
          <w:p>
            <w:pPr>
              <w:pStyle w:val="26"/>
            </w:pPr>
            <w:r>
              <w:rPr>
                <w:rFonts w:hint="eastAsia"/>
              </w:rPr>
              <w:t>紫外分光光度计</w:t>
            </w:r>
          </w:p>
          <w:p>
            <w:pPr>
              <w:pStyle w:val="26"/>
            </w:pPr>
            <w:r>
              <w:rPr>
                <w:rFonts w:hint="eastAsia"/>
              </w:rPr>
              <w:t>XRJC-YQ-005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jc w:val="center"/>
        </w:trPr>
        <w:tc>
          <w:tcPr>
            <w:tcW w:w="1152" w:type="dxa"/>
            <w:vMerge w:val="continue"/>
            <w:tcBorders>
              <w:tl2br w:val="nil"/>
              <w:tr2bl w:val="nil"/>
            </w:tcBorders>
            <w:vAlign w:val="center"/>
          </w:tcPr>
          <w:p>
            <w:pPr>
              <w:pStyle w:val="26"/>
            </w:pPr>
          </w:p>
        </w:tc>
        <w:tc>
          <w:tcPr>
            <w:tcW w:w="1363" w:type="dxa"/>
            <w:tcBorders>
              <w:tl2br w:val="nil"/>
              <w:tr2bl w:val="nil"/>
            </w:tcBorders>
            <w:vAlign w:val="center"/>
          </w:tcPr>
          <w:p>
            <w:pPr>
              <w:pStyle w:val="26"/>
            </w:pPr>
            <w:r>
              <w:rPr>
                <w:rFonts w:hint="eastAsia"/>
              </w:rPr>
              <w:t>氨氮</w:t>
            </w:r>
          </w:p>
        </w:tc>
        <w:tc>
          <w:tcPr>
            <w:tcW w:w="1886" w:type="dxa"/>
            <w:tcBorders>
              <w:tl2br w:val="nil"/>
              <w:tr2bl w:val="nil"/>
            </w:tcBorders>
            <w:vAlign w:val="center"/>
          </w:tcPr>
          <w:p>
            <w:pPr>
              <w:pStyle w:val="26"/>
            </w:pPr>
            <w:r>
              <w:rPr>
                <w:rFonts w:hint="eastAsia"/>
              </w:rPr>
              <w:t>纳氏试剂分光光度法</w:t>
            </w:r>
          </w:p>
        </w:tc>
        <w:tc>
          <w:tcPr>
            <w:tcW w:w="1909" w:type="dxa"/>
            <w:tcBorders>
              <w:tl2br w:val="nil"/>
              <w:tr2bl w:val="nil"/>
            </w:tcBorders>
            <w:vAlign w:val="center"/>
          </w:tcPr>
          <w:p>
            <w:pPr>
              <w:pStyle w:val="26"/>
            </w:pPr>
            <w:r>
              <w:rPr>
                <w:rFonts w:hint="eastAsia"/>
              </w:rPr>
              <w:t>HJ/T 828-2017</w:t>
            </w:r>
          </w:p>
        </w:tc>
        <w:tc>
          <w:tcPr>
            <w:tcW w:w="2477" w:type="dxa"/>
            <w:tcBorders>
              <w:tl2br w:val="nil"/>
              <w:tr2bl w:val="nil"/>
            </w:tcBorders>
            <w:vAlign w:val="center"/>
          </w:tcPr>
          <w:p>
            <w:pPr>
              <w:pStyle w:val="26"/>
            </w:pPr>
            <w:r>
              <w:rPr>
                <w:rFonts w:hint="eastAsia"/>
              </w:rPr>
              <w:t>万分之一电子天平</w:t>
            </w:r>
          </w:p>
          <w:p>
            <w:pPr>
              <w:pStyle w:val="26"/>
            </w:pPr>
            <w:r>
              <w:rPr>
                <w:rFonts w:hint="eastAsia"/>
              </w:rPr>
              <w:t>XRJC-YQ-008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jc w:val="center"/>
        </w:trPr>
        <w:tc>
          <w:tcPr>
            <w:tcW w:w="1152" w:type="dxa"/>
            <w:vMerge w:val="continue"/>
            <w:tcBorders>
              <w:tl2br w:val="nil"/>
              <w:tr2bl w:val="nil"/>
            </w:tcBorders>
            <w:vAlign w:val="center"/>
          </w:tcPr>
          <w:p>
            <w:pPr>
              <w:pStyle w:val="26"/>
            </w:pPr>
          </w:p>
        </w:tc>
        <w:tc>
          <w:tcPr>
            <w:tcW w:w="1363" w:type="dxa"/>
            <w:tcBorders>
              <w:tl2br w:val="nil"/>
              <w:tr2bl w:val="nil"/>
            </w:tcBorders>
            <w:vAlign w:val="center"/>
          </w:tcPr>
          <w:p>
            <w:pPr>
              <w:pStyle w:val="26"/>
            </w:pPr>
            <w:r>
              <w:rPr>
                <w:rFonts w:hint="eastAsia"/>
              </w:rPr>
              <w:t>悬浮物</w:t>
            </w:r>
          </w:p>
        </w:tc>
        <w:tc>
          <w:tcPr>
            <w:tcW w:w="1886" w:type="dxa"/>
            <w:tcBorders>
              <w:tl2br w:val="nil"/>
              <w:tr2bl w:val="nil"/>
            </w:tcBorders>
            <w:vAlign w:val="center"/>
          </w:tcPr>
          <w:p>
            <w:pPr>
              <w:pStyle w:val="26"/>
            </w:pPr>
            <w:r>
              <w:rPr>
                <w:rFonts w:hint="eastAsia"/>
              </w:rPr>
              <w:t>重量法</w:t>
            </w:r>
          </w:p>
        </w:tc>
        <w:tc>
          <w:tcPr>
            <w:tcW w:w="1909" w:type="dxa"/>
            <w:tcBorders>
              <w:tl2br w:val="nil"/>
              <w:tr2bl w:val="nil"/>
            </w:tcBorders>
            <w:vAlign w:val="center"/>
          </w:tcPr>
          <w:p>
            <w:pPr>
              <w:pStyle w:val="26"/>
            </w:pPr>
            <w:r>
              <w:rPr>
                <w:rFonts w:hint="eastAsia"/>
              </w:rPr>
              <w:t>HJ 535-2009</w:t>
            </w:r>
          </w:p>
        </w:tc>
        <w:tc>
          <w:tcPr>
            <w:tcW w:w="2477" w:type="dxa"/>
            <w:tcBorders>
              <w:tl2br w:val="nil"/>
              <w:tr2bl w:val="nil"/>
            </w:tcBorders>
            <w:vAlign w:val="center"/>
          </w:tcPr>
          <w:p>
            <w:pPr>
              <w:pStyle w:val="26"/>
            </w:pPr>
            <w:r>
              <w:rPr>
                <w:rFonts w:hint="eastAsia"/>
              </w:rPr>
              <w:t>万分之一电子天平</w:t>
            </w:r>
          </w:p>
          <w:p>
            <w:pPr>
              <w:pStyle w:val="26"/>
            </w:pPr>
            <w:r>
              <w:rPr>
                <w:rFonts w:hint="eastAsia"/>
              </w:rPr>
              <w:t>XRJC-YQ-008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3" w:hRule="atLeast"/>
          <w:jc w:val="center"/>
        </w:trPr>
        <w:tc>
          <w:tcPr>
            <w:tcW w:w="1152" w:type="dxa"/>
            <w:tcBorders>
              <w:tl2br w:val="nil"/>
              <w:tr2bl w:val="nil"/>
            </w:tcBorders>
            <w:vAlign w:val="center"/>
          </w:tcPr>
          <w:p>
            <w:pPr>
              <w:pStyle w:val="26"/>
            </w:pPr>
            <w:r>
              <w:rPr>
                <w:rFonts w:hint="eastAsia"/>
              </w:rPr>
              <w:t>噪声</w:t>
            </w:r>
          </w:p>
        </w:tc>
        <w:tc>
          <w:tcPr>
            <w:tcW w:w="1363" w:type="dxa"/>
            <w:tcBorders>
              <w:tl2br w:val="nil"/>
              <w:tr2bl w:val="nil"/>
            </w:tcBorders>
            <w:vAlign w:val="center"/>
          </w:tcPr>
          <w:p>
            <w:pPr>
              <w:pStyle w:val="26"/>
            </w:pPr>
            <w:r>
              <w:rPr>
                <w:rFonts w:hint="eastAsia"/>
              </w:rPr>
              <w:t>噪声</w:t>
            </w:r>
          </w:p>
        </w:tc>
        <w:tc>
          <w:tcPr>
            <w:tcW w:w="1886" w:type="dxa"/>
            <w:tcBorders>
              <w:tl2br w:val="nil"/>
              <w:tr2bl w:val="nil"/>
            </w:tcBorders>
            <w:vAlign w:val="center"/>
          </w:tcPr>
          <w:p>
            <w:pPr>
              <w:pStyle w:val="26"/>
            </w:pPr>
            <w:r>
              <w:rPr>
                <w:rFonts w:hint="eastAsia"/>
              </w:rPr>
              <w:t>等效连续A声级</w:t>
            </w:r>
          </w:p>
        </w:tc>
        <w:tc>
          <w:tcPr>
            <w:tcW w:w="1909" w:type="dxa"/>
            <w:tcBorders>
              <w:tl2br w:val="nil"/>
              <w:tr2bl w:val="nil"/>
            </w:tcBorders>
            <w:vAlign w:val="center"/>
          </w:tcPr>
          <w:p>
            <w:pPr>
              <w:pStyle w:val="26"/>
            </w:pPr>
            <w:r>
              <w:rPr>
                <w:rFonts w:hint="eastAsia"/>
              </w:rPr>
              <w:t>GB 12348-2008</w:t>
            </w:r>
          </w:p>
        </w:tc>
        <w:tc>
          <w:tcPr>
            <w:tcW w:w="2477" w:type="dxa"/>
            <w:tcBorders>
              <w:tl2br w:val="nil"/>
              <w:tr2bl w:val="nil"/>
            </w:tcBorders>
            <w:vAlign w:val="center"/>
          </w:tcPr>
          <w:p>
            <w:pPr>
              <w:pStyle w:val="26"/>
            </w:pPr>
            <w:r>
              <w:rPr>
                <w:rFonts w:hint="eastAsia"/>
              </w:rPr>
              <w:t>噪声统计分析仪</w:t>
            </w:r>
          </w:p>
          <w:p>
            <w:pPr>
              <w:pStyle w:val="26"/>
            </w:pPr>
            <w:r>
              <w:rPr>
                <w:rFonts w:hint="eastAsia"/>
              </w:rPr>
              <w:t xml:space="preserve"> XRJC-YQ-082</w:t>
            </w:r>
          </w:p>
        </w:tc>
      </w:tr>
    </w:tbl>
    <w:p>
      <w:pPr>
        <w:pStyle w:val="6"/>
        <w:numPr>
          <w:ilvl w:val="1"/>
          <w:numId w:val="0"/>
        </w:numPr>
        <w:rPr>
          <w:rFonts w:ascii="宋体" w:hAnsi="宋体" w:cs="宋体"/>
        </w:rPr>
      </w:pPr>
      <w:bookmarkStart w:id="139" w:name="_Toc929_WPSOffice_Level2"/>
      <w:bookmarkStart w:id="140" w:name="_Toc19303_WPSOffice_Level2"/>
      <w:bookmarkStart w:id="141" w:name="_Toc19972_WPSOffice_Level2"/>
      <w:bookmarkStart w:id="142" w:name="_Toc28651_WPSOffice_Level2"/>
      <w:bookmarkStart w:id="143" w:name="_Toc9730_WPSOffice_Level2"/>
      <w:r>
        <w:rPr>
          <w:rFonts w:hint="eastAsia" w:ascii="宋体" w:hAnsi="宋体" w:cs="宋体"/>
        </w:rPr>
        <w:t>8.2 监测仪器</w:t>
      </w:r>
      <w:bookmarkEnd w:id="139"/>
      <w:bookmarkEnd w:id="140"/>
      <w:bookmarkEnd w:id="141"/>
      <w:bookmarkEnd w:id="142"/>
      <w:bookmarkEnd w:id="143"/>
    </w:p>
    <w:p>
      <w:pPr>
        <w:ind w:firstLine="240" w:firstLineChars="100"/>
        <w:rPr>
          <w:sz w:val="24"/>
        </w:rPr>
      </w:pPr>
      <w:r>
        <w:rPr>
          <w:rFonts w:hint="eastAsia"/>
          <w:sz w:val="24"/>
        </w:rPr>
        <w:t>验收监测期间，所使用的实验室分析仪器见表8-2、现场监测仪器见表8-3。</w:t>
      </w:r>
    </w:p>
    <w:p>
      <w:pPr>
        <w:ind w:firstLine="480"/>
        <w:jc w:val="center"/>
        <w:rPr>
          <w:sz w:val="24"/>
          <w:szCs w:val="22"/>
        </w:rPr>
      </w:pPr>
      <w:bookmarkStart w:id="144" w:name="_Toc20389_WPSOffice_Level2"/>
      <w:bookmarkStart w:id="145" w:name="_Toc24054_WPSOffice_Level2"/>
      <w:bookmarkStart w:id="146" w:name="_Toc9540_WPSOffice_Level2"/>
      <w:bookmarkStart w:id="147" w:name="_Toc16227_WPSOffice_Level3"/>
      <w:bookmarkStart w:id="148" w:name="_Toc18592_WPSOffice_Level2"/>
      <w:r>
        <w:rPr>
          <w:rFonts w:hint="eastAsia"/>
          <w:sz w:val="24"/>
          <w:szCs w:val="22"/>
        </w:rPr>
        <w:t>表8-2实验室分析仪器</w:t>
      </w:r>
      <w:bookmarkEnd w:id="144"/>
      <w:bookmarkEnd w:id="145"/>
      <w:bookmarkEnd w:id="146"/>
      <w:bookmarkEnd w:id="147"/>
      <w:bookmarkEnd w:id="148"/>
    </w:p>
    <w:tbl>
      <w:tblPr>
        <w:tblStyle w:val="20"/>
        <w:tblW w:w="8787"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39"/>
        <w:gridCol w:w="1290"/>
        <w:gridCol w:w="1140"/>
        <w:gridCol w:w="1698"/>
        <w:gridCol w:w="1392"/>
        <w:gridCol w:w="212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139" w:type="dxa"/>
            <w:tcBorders>
              <w:tl2br w:val="nil"/>
              <w:tr2bl w:val="nil"/>
            </w:tcBorders>
            <w:vAlign w:val="center"/>
          </w:tcPr>
          <w:p>
            <w:pPr>
              <w:pStyle w:val="26"/>
            </w:pPr>
            <w:r>
              <w:rPr>
                <w:rFonts w:hint="eastAsia"/>
              </w:rPr>
              <w:t>监测因子</w:t>
            </w:r>
          </w:p>
        </w:tc>
        <w:tc>
          <w:tcPr>
            <w:tcW w:w="1290" w:type="dxa"/>
            <w:tcBorders>
              <w:tl2br w:val="nil"/>
              <w:tr2bl w:val="nil"/>
            </w:tcBorders>
            <w:vAlign w:val="center"/>
          </w:tcPr>
          <w:p>
            <w:pPr>
              <w:pStyle w:val="26"/>
            </w:pPr>
            <w:r>
              <w:rPr>
                <w:rFonts w:hint="eastAsia"/>
              </w:rPr>
              <w:t>仪器名称</w:t>
            </w:r>
          </w:p>
        </w:tc>
        <w:tc>
          <w:tcPr>
            <w:tcW w:w="1140" w:type="dxa"/>
            <w:tcBorders>
              <w:tl2br w:val="nil"/>
              <w:tr2bl w:val="nil"/>
            </w:tcBorders>
            <w:vAlign w:val="center"/>
          </w:tcPr>
          <w:p>
            <w:pPr>
              <w:pStyle w:val="26"/>
            </w:pPr>
            <w:r>
              <w:rPr>
                <w:rFonts w:hint="eastAsia"/>
              </w:rPr>
              <w:t>型号</w:t>
            </w:r>
          </w:p>
        </w:tc>
        <w:tc>
          <w:tcPr>
            <w:tcW w:w="1698" w:type="dxa"/>
            <w:tcBorders>
              <w:tl2br w:val="nil"/>
              <w:tr2bl w:val="nil"/>
            </w:tcBorders>
            <w:vAlign w:val="center"/>
          </w:tcPr>
          <w:p>
            <w:pPr>
              <w:pStyle w:val="26"/>
            </w:pPr>
            <w:r>
              <w:rPr>
                <w:rFonts w:hint="eastAsia"/>
              </w:rPr>
              <w:t>编号</w:t>
            </w:r>
          </w:p>
        </w:tc>
        <w:tc>
          <w:tcPr>
            <w:tcW w:w="1392" w:type="dxa"/>
            <w:tcBorders>
              <w:tl2br w:val="nil"/>
              <w:tr2bl w:val="nil"/>
            </w:tcBorders>
            <w:vAlign w:val="center"/>
          </w:tcPr>
          <w:p>
            <w:pPr>
              <w:pStyle w:val="26"/>
            </w:pPr>
            <w:r>
              <w:rPr>
                <w:rFonts w:hint="eastAsia"/>
              </w:rPr>
              <w:t>检定/校准日期</w:t>
            </w:r>
          </w:p>
        </w:tc>
        <w:tc>
          <w:tcPr>
            <w:tcW w:w="2128" w:type="dxa"/>
            <w:tcBorders>
              <w:tl2br w:val="nil"/>
              <w:tr2bl w:val="nil"/>
            </w:tcBorders>
            <w:vAlign w:val="center"/>
          </w:tcPr>
          <w:p>
            <w:pPr>
              <w:pStyle w:val="26"/>
            </w:pPr>
            <w:r>
              <w:rPr>
                <w:rFonts w:hint="eastAsia"/>
              </w:rPr>
              <w:t>检定/校准有效期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139" w:type="dxa"/>
            <w:vAlign w:val="center"/>
          </w:tcPr>
          <w:p>
            <w:pPr>
              <w:pStyle w:val="26"/>
            </w:pPr>
            <w:r>
              <w:rPr>
                <w:rFonts w:hint="eastAsia"/>
              </w:rPr>
              <w:t>CODcr</w:t>
            </w:r>
          </w:p>
        </w:tc>
        <w:tc>
          <w:tcPr>
            <w:tcW w:w="1290" w:type="dxa"/>
            <w:vAlign w:val="center"/>
          </w:tcPr>
          <w:p>
            <w:pPr>
              <w:pStyle w:val="26"/>
            </w:pPr>
            <w:r>
              <w:rPr>
                <w:rFonts w:hint="eastAsia"/>
              </w:rPr>
              <w:t>COD恒温加热器</w:t>
            </w:r>
          </w:p>
        </w:tc>
        <w:tc>
          <w:tcPr>
            <w:tcW w:w="1140" w:type="dxa"/>
            <w:vAlign w:val="center"/>
          </w:tcPr>
          <w:p>
            <w:pPr>
              <w:pStyle w:val="26"/>
            </w:pPr>
            <w:r>
              <w:rPr>
                <w:rFonts w:hint="eastAsia"/>
              </w:rPr>
              <w:t>--</w:t>
            </w:r>
          </w:p>
        </w:tc>
        <w:tc>
          <w:tcPr>
            <w:tcW w:w="1698" w:type="dxa"/>
            <w:vAlign w:val="center"/>
          </w:tcPr>
          <w:p>
            <w:pPr>
              <w:pStyle w:val="26"/>
            </w:pPr>
            <w:r>
              <w:rPr>
                <w:rFonts w:hint="eastAsia"/>
              </w:rPr>
              <w:t>XRJC-YQ-075</w:t>
            </w:r>
          </w:p>
        </w:tc>
        <w:tc>
          <w:tcPr>
            <w:tcW w:w="1392" w:type="dxa"/>
            <w:vAlign w:val="center"/>
          </w:tcPr>
          <w:p>
            <w:pPr>
              <w:pStyle w:val="26"/>
            </w:pPr>
            <w:r>
              <w:rPr>
                <w:rFonts w:hint="eastAsia"/>
              </w:rPr>
              <w:t>2018.4.4</w:t>
            </w:r>
          </w:p>
        </w:tc>
        <w:tc>
          <w:tcPr>
            <w:tcW w:w="2128" w:type="dxa"/>
            <w:vAlign w:val="center"/>
          </w:tcPr>
          <w:p>
            <w:pPr>
              <w:pStyle w:val="26"/>
            </w:pPr>
            <w:r>
              <w:rPr>
                <w:rFonts w:hint="eastAsia"/>
              </w:rPr>
              <w:t>2019.1.3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139" w:type="dxa"/>
            <w:vAlign w:val="center"/>
          </w:tcPr>
          <w:p>
            <w:pPr>
              <w:pStyle w:val="26"/>
            </w:pPr>
            <w:r>
              <w:rPr>
                <w:rFonts w:hint="eastAsia"/>
              </w:rPr>
              <w:t>氨氮</w:t>
            </w:r>
          </w:p>
        </w:tc>
        <w:tc>
          <w:tcPr>
            <w:tcW w:w="1290" w:type="dxa"/>
            <w:vAlign w:val="center"/>
          </w:tcPr>
          <w:p>
            <w:pPr>
              <w:pStyle w:val="26"/>
            </w:pPr>
            <w:r>
              <w:rPr>
                <w:rFonts w:hint="eastAsia"/>
              </w:rPr>
              <w:t>紫外分光光度计</w:t>
            </w:r>
          </w:p>
        </w:tc>
        <w:tc>
          <w:tcPr>
            <w:tcW w:w="1140" w:type="dxa"/>
            <w:vAlign w:val="center"/>
          </w:tcPr>
          <w:p>
            <w:pPr>
              <w:pStyle w:val="26"/>
            </w:pPr>
            <w:r>
              <w:rPr>
                <w:rFonts w:hint="eastAsia"/>
              </w:rPr>
              <w:t>T6新世纪</w:t>
            </w:r>
          </w:p>
        </w:tc>
        <w:tc>
          <w:tcPr>
            <w:tcW w:w="1698" w:type="dxa"/>
            <w:vAlign w:val="center"/>
          </w:tcPr>
          <w:p>
            <w:pPr>
              <w:pStyle w:val="26"/>
            </w:pPr>
            <w:r>
              <w:rPr>
                <w:rFonts w:hint="eastAsia"/>
              </w:rPr>
              <w:t>XRJC-YQ-005</w:t>
            </w:r>
          </w:p>
        </w:tc>
        <w:tc>
          <w:tcPr>
            <w:tcW w:w="1392" w:type="dxa"/>
            <w:vAlign w:val="center"/>
          </w:tcPr>
          <w:p>
            <w:pPr>
              <w:pStyle w:val="26"/>
            </w:pPr>
            <w:r>
              <w:rPr>
                <w:rFonts w:hint="eastAsia"/>
              </w:rPr>
              <w:t>2018.4.4</w:t>
            </w:r>
          </w:p>
        </w:tc>
        <w:tc>
          <w:tcPr>
            <w:tcW w:w="2128" w:type="dxa"/>
            <w:vAlign w:val="center"/>
          </w:tcPr>
          <w:p>
            <w:pPr>
              <w:pStyle w:val="26"/>
            </w:pPr>
            <w:r>
              <w:rPr>
                <w:rFonts w:hint="eastAsia"/>
              </w:rPr>
              <w:t>2019.1.3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139" w:type="dxa"/>
            <w:vAlign w:val="center"/>
          </w:tcPr>
          <w:p>
            <w:pPr>
              <w:pStyle w:val="26"/>
            </w:pPr>
            <w:r>
              <w:rPr>
                <w:rFonts w:hint="eastAsia"/>
              </w:rPr>
              <w:t>悬浮物</w:t>
            </w:r>
          </w:p>
        </w:tc>
        <w:tc>
          <w:tcPr>
            <w:tcW w:w="1290" w:type="dxa"/>
            <w:vAlign w:val="center"/>
          </w:tcPr>
          <w:p>
            <w:pPr>
              <w:pStyle w:val="26"/>
            </w:pPr>
            <w:r>
              <w:rPr>
                <w:rFonts w:hint="eastAsia"/>
              </w:rPr>
              <w:t>万分之一电子天平</w:t>
            </w:r>
          </w:p>
        </w:tc>
        <w:tc>
          <w:tcPr>
            <w:tcW w:w="1140" w:type="dxa"/>
            <w:vAlign w:val="center"/>
          </w:tcPr>
          <w:p>
            <w:pPr>
              <w:pStyle w:val="26"/>
            </w:pPr>
            <w:r>
              <w:rPr>
                <w:rFonts w:hint="eastAsia"/>
              </w:rPr>
              <w:t>FA1204B</w:t>
            </w:r>
          </w:p>
        </w:tc>
        <w:tc>
          <w:tcPr>
            <w:tcW w:w="1698" w:type="dxa"/>
            <w:vAlign w:val="center"/>
          </w:tcPr>
          <w:p>
            <w:pPr>
              <w:pStyle w:val="26"/>
            </w:pPr>
            <w:r>
              <w:rPr>
                <w:rFonts w:hint="eastAsia"/>
              </w:rPr>
              <w:t>XRJC-YQ-008</w:t>
            </w:r>
          </w:p>
        </w:tc>
        <w:tc>
          <w:tcPr>
            <w:tcW w:w="1392" w:type="dxa"/>
            <w:vAlign w:val="center"/>
          </w:tcPr>
          <w:p>
            <w:pPr>
              <w:pStyle w:val="26"/>
            </w:pPr>
            <w:r>
              <w:rPr>
                <w:rFonts w:hint="eastAsia"/>
              </w:rPr>
              <w:t>2018.4.4</w:t>
            </w:r>
          </w:p>
        </w:tc>
        <w:tc>
          <w:tcPr>
            <w:tcW w:w="2128" w:type="dxa"/>
            <w:vAlign w:val="center"/>
          </w:tcPr>
          <w:p>
            <w:pPr>
              <w:pStyle w:val="26"/>
            </w:pPr>
            <w:r>
              <w:rPr>
                <w:rFonts w:hint="eastAsia"/>
              </w:rPr>
              <w:t>2019.1.3</w:t>
            </w:r>
          </w:p>
        </w:tc>
      </w:tr>
    </w:tbl>
    <w:p>
      <w:pPr>
        <w:ind w:firstLine="2880" w:firstLineChars="1200"/>
        <w:rPr>
          <w:sz w:val="24"/>
          <w:szCs w:val="22"/>
        </w:rPr>
      </w:pPr>
      <w:bookmarkStart w:id="149" w:name="_Toc30753_WPSOffice_Level3"/>
      <w:bookmarkStart w:id="150" w:name="_Toc20865_WPSOffice_Level2"/>
      <w:bookmarkStart w:id="151" w:name="_Toc29979_WPSOffice_Level2"/>
      <w:bookmarkStart w:id="152" w:name="_Toc14625_WPSOffice_Level2"/>
      <w:r>
        <w:rPr>
          <w:rFonts w:hint="eastAsia"/>
          <w:sz w:val="24"/>
          <w:szCs w:val="22"/>
        </w:rPr>
        <w:t>表8-3现场监测仪器</w:t>
      </w:r>
      <w:bookmarkEnd w:id="149"/>
      <w:bookmarkEnd w:id="150"/>
      <w:bookmarkEnd w:id="151"/>
      <w:bookmarkEnd w:id="152"/>
    </w:p>
    <w:tbl>
      <w:tblPr>
        <w:tblStyle w:val="20"/>
        <w:tblW w:w="8787"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757"/>
        <w:gridCol w:w="2085"/>
        <w:gridCol w:w="1430"/>
        <w:gridCol w:w="1758"/>
        <w:gridCol w:w="175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757" w:type="dxa"/>
            <w:tcBorders>
              <w:tl2br w:val="nil"/>
              <w:tr2bl w:val="nil"/>
            </w:tcBorders>
            <w:vAlign w:val="center"/>
          </w:tcPr>
          <w:p>
            <w:pPr>
              <w:pStyle w:val="26"/>
            </w:pPr>
            <w:r>
              <w:rPr>
                <w:rFonts w:hint="eastAsia"/>
              </w:rPr>
              <w:t>仪器名称</w:t>
            </w:r>
          </w:p>
        </w:tc>
        <w:tc>
          <w:tcPr>
            <w:tcW w:w="2085" w:type="dxa"/>
            <w:tcBorders>
              <w:tl2br w:val="nil"/>
              <w:tr2bl w:val="nil"/>
            </w:tcBorders>
            <w:vAlign w:val="center"/>
          </w:tcPr>
          <w:p>
            <w:pPr>
              <w:pStyle w:val="26"/>
            </w:pPr>
            <w:r>
              <w:rPr>
                <w:rFonts w:hint="eastAsia"/>
              </w:rPr>
              <w:t>型号</w:t>
            </w:r>
          </w:p>
        </w:tc>
        <w:tc>
          <w:tcPr>
            <w:tcW w:w="1430" w:type="dxa"/>
            <w:tcBorders>
              <w:tl2br w:val="nil"/>
              <w:tr2bl w:val="nil"/>
            </w:tcBorders>
            <w:vAlign w:val="center"/>
          </w:tcPr>
          <w:p>
            <w:pPr>
              <w:pStyle w:val="26"/>
            </w:pPr>
            <w:r>
              <w:rPr>
                <w:rFonts w:hint="eastAsia"/>
              </w:rPr>
              <w:t>编号</w:t>
            </w:r>
          </w:p>
        </w:tc>
        <w:tc>
          <w:tcPr>
            <w:tcW w:w="1758" w:type="dxa"/>
            <w:tcBorders>
              <w:tl2br w:val="nil"/>
              <w:tr2bl w:val="nil"/>
            </w:tcBorders>
            <w:vAlign w:val="center"/>
          </w:tcPr>
          <w:p>
            <w:pPr>
              <w:pStyle w:val="26"/>
            </w:pPr>
            <w:r>
              <w:rPr>
                <w:rFonts w:hint="eastAsia"/>
              </w:rPr>
              <w:t>检定/校准日期</w:t>
            </w:r>
          </w:p>
        </w:tc>
        <w:tc>
          <w:tcPr>
            <w:tcW w:w="1757" w:type="dxa"/>
            <w:tcBorders>
              <w:tl2br w:val="nil"/>
              <w:tr2bl w:val="nil"/>
            </w:tcBorders>
            <w:vAlign w:val="center"/>
          </w:tcPr>
          <w:p>
            <w:pPr>
              <w:pStyle w:val="26"/>
            </w:pPr>
            <w:r>
              <w:rPr>
                <w:rFonts w:hint="eastAsia"/>
              </w:rPr>
              <w:t>检定/校准有效期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757" w:type="dxa"/>
            <w:vAlign w:val="center"/>
          </w:tcPr>
          <w:p>
            <w:pPr>
              <w:pStyle w:val="26"/>
            </w:pPr>
            <w:r>
              <w:rPr>
                <w:rFonts w:hint="eastAsia"/>
              </w:rPr>
              <w:t>噪声</w:t>
            </w:r>
          </w:p>
        </w:tc>
        <w:tc>
          <w:tcPr>
            <w:tcW w:w="2085" w:type="dxa"/>
            <w:vAlign w:val="center"/>
          </w:tcPr>
          <w:p>
            <w:pPr>
              <w:pStyle w:val="26"/>
            </w:pPr>
            <w:r>
              <w:rPr>
                <w:rFonts w:hint="eastAsia"/>
              </w:rPr>
              <w:t>噪声统计分析仪</w:t>
            </w:r>
          </w:p>
        </w:tc>
        <w:tc>
          <w:tcPr>
            <w:tcW w:w="1430" w:type="dxa"/>
            <w:vAlign w:val="center"/>
          </w:tcPr>
          <w:p>
            <w:pPr>
              <w:pStyle w:val="26"/>
            </w:pPr>
            <w:r>
              <w:rPr>
                <w:rFonts w:hint="eastAsia"/>
              </w:rPr>
              <w:t xml:space="preserve"> XRJC-YQ-082</w:t>
            </w:r>
          </w:p>
        </w:tc>
        <w:tc>
          <w:tcPr>
            <w:tcW w:w="1758" w:type="dxa"/>
            <w:vAlign w:val="center"/>
          </w:tcPr>
          <w:p>
            <w:pPr>
              <w:pStyle w:val="26"/>
            </w:pPr>
            <w:r>
              <w:rPr>
                <w:rFonts w:hint="eastAsia"/>
              </w:rPr>
              <w:t>2018.4.4</w:t>
            </w:r>
          </w:p>
        </w:tc>
        <w:tc>
          <w:tcPr>
            <w:tcW w:w="1757" w:type="dxa"/>
            <w:vAlign w:val="center"/>
          </w:tcPr>
          <w:p>
            <w:pPr>
              <w:pStyle w:val="26"/>
            </w:pPr>
            <w:r>
              <w:rPr>
                <w:rFonts w:hint="eastAsia"/>
              </w:rPr>
              <w:t>2019.1.3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757" w:type="dxa"/>
            <w:vAlign w:val="center"/>
          </w:tcPr>
          <w:p>
            <w:pPr>
              <w:pStyle w:val="26"/>
            </w:pPr>
            <w:r>
              <w:rPr>
                <w:rFonts w:hint="eastAsia"/>
              </w:rPr>
              <w:t>pH</w:t>
            </w:r>
          </w:p>
        </w:tc>
        <w:tc>
          <w:tcPr>
            <w:tcW w:w="2085" w:type="dxa"/>
            <w:vAlign w:val="center"/>
          </w:tcPr>
          <w:p>
            <w:pPr>
              <w:pStyle w:val="26"/>
            </w:pPr>
            <w:r>
              <w:rPr>
                <w:rFonts w:hint="eastAsia"/>
              </w:rPr>
              <w:t>酸度计</w:t>
            </w:r>
          </w:p>
        </w:tc>
        <w:tc>
          <w:tcPr>
            <w:tcW w:w="1430" w:type="dxa"/>
            <w:vAlign w:val="center"/>
          </w:tcPr>
          <w:p>
            <w:pPr>
              <w:pStyle w:val="26"/>
            </w:pPr>
            <w:r>
              <w:rPr>
                <w:rFonts w:hint="eastAsia"/>
              </w:rPr>
              <w:t>XRJC-YQ-020</w:t>
            </w:r>
          </w:p>
        </w:tc>
        <w:tc>
          <w:tcPr>
            <w:tcW w:w="1758" w:type="dxa"/>
            <w:vAlign w:val="center"/>
          </w:tcPr>
          <w:p>
            <w:pPr>
              <w:pStyle w:val="26"/>
            </w:pPr>
            <w:r>
              <w:rPr>
                <w:rFonts w:hint="eastAsia"/>
              </w:rPr>
              <w:t>2018.4.4</w:t>
            </w:r>
          </w:p>
        </w:tc>
        <w:tc>
          <w:tcPr>
            <w:tcW w:w="1757" w:type="dxa"/>
            <w:vAlign w:val="center"/>
          </w:tcPr>
          <w:p>
            <w:pPr>
              <w:pStyle w:val="26"/>
            </w:pPr>
            <w:r>
              <w:rPr>
                <w:rFonts w:hint="eastAsia"/>
              </w:rPr>
              <w:t>2019.1.3</w:t>
            </w:r>
          </w:p>
        </w:tc>
      </w:tr>
    </w:tbl>
    <w:p>
      <w:pPr>
        <w:pStyle w:val="6"/>
        <w:numPr>
          <w:ilvl w:val="1"/>
          <w:numId w:val="0"/>
        </w:numPr>
        <w:adjustRightInd w:val="0"/>
        <w:snapToGrid w:val="0"/>
        <w:spacing w:before="156" w:beforeLines="50"/>
        <w:jc w:val="both"/>
        <w:rPr>
          <w:rFonts w:ascii="宋体" w:hAnsi="宋体" w:cs="宋体"/>
        </w:rPr>
      </w:pPr>
      <w:bookmarkStart w:id="153" w:name="_Toc29403_WPSOffice_Level2"/>
      <w:bookmarkStart w:id="154" w:name="_Toc7586_WPSOffice_Level2"/>
      <w:bookmarkStart w:id="155" w:name="_Toc14407_WPSOffice_Level2"/>
      <w:bookmarkStart w:id="156" w:name="_Toc31868_WPSOffice_Level2"/>
      <w:bookmarkStart w:id="157" w:name="_Toc1347_WPSOffice_Level2"/>
      <w:r>
        <w:rPr>
          <w:rFonts w:hint="eastAsia" w:ascii="宋体" w:hAnsi="宋体" w:cs="宋体"/>
        </w:rPr>
        <w:t>8.3人员资质</w:t>
      </w:r>
      <w:bookmarkEnd w:id="153"/>
      <w:bookmarkEnd w:id="154"/>
      <w:bookmarkEnd w:id="155"/>
      <w:bookmarkEnd w:id="156"/>
      <w:bookmarkEnd w:id="157"/>
    </w:p>
    <w:p>
      <w:pPr>
        <w:ind w:firstLine="560"/>
      </w:pPr>
      <w:r>
        <w:rPr>
          <w:rFonts w:hint="eastAsia"/>
        </w:rPr>
        <w:t>所有参加监测采样和分析人员，均经考核合格并持证上岗。</w:t>
      </w:r>
    </w:p>
    <w:p>
      <w:pPr>
        <w:pStyle w:val="6"/>
        <w:numPr>
          <w:ilvl w:val="1"/>
          <w:numId w:val="0"/>
        </w:numPr>
        <w:rPr>
          <w:rFonts w:ascii="宋体" w:hAnsi="宋体" w:cs="宋体"/>
        </w:rPr>
      </w:pPr>
      <w:bookmarkStart w:id="158" w:name="_Toc14403_WPSOffice_Level2"/>
      <w:bookmarkStart w:id="159" w:name="_Toc9181_WPSOffice_Level2"/>
      <w:bookmarkStart w:id="160" w:name="_Toc6692_WPSOffice_Level2"/>
      <w:bookmarkStart w:id="161" w:name="_Toc10086"/>
      <w:bookmarkStart w:id="162" w:name="_Toc28994_WPSOffice_Level2"/>
      <w:bookmarkStart w:id="163" w:name="_Toc62_WPSOffice_Level2"/>
      <w:r>
        <w:rPr>
          <w:rFonts w:hint="eastAsia" w:ascii="宋体" w:hAnsi="宋体" w:cs="宋体"/>
        </w:rPr>
        <w:t>8.4 废水监测分析过程中的质量保证和质量控制</w:t>
      </w:r>
      <w:bookmarkEnd w:id="158"/>
      <w:bookmarkEnd w:id="159"/>
      <w:bookmarkEnd w:id="160"/>
      <w:bookmarkEnd w:id="161"/>
      <w:bookmarkEnd w:id="162"/>
      <w:bookmarkEnd w:id="163"/>
    </w:p>
    <w:p>
      <w:pPr>
        <w:ind w:firstLine="560"/>
      </w:pPr>
      <w:r>
        <w:rPr>
          <w:rFonts w:hint="eastAsia"/>
        </w:rPr>
        <w:t>水样的采集、运输、保存、实验室分析和数据计算的全过程均按《地表水和污水监测技术规范》（HJ/T 91-2002）的要求进行。现场水样采集时，采集全程空白样和现场平行样，按照《地表水和污水监测技术规范》的要求选择保存剂和容器。实验室分析时，带实验室空白样、实验室平行样和质控样一同分析。</w:t>
      </w:r>
    </w:p>
    <w:p>
      <w:pPr>
        <w:pStyle w:val="6"/>
        <w:numPr>
          <w:ilvl w:val="1"/>
          <w:numId w:val="0"/>
        </w:numPr>
        <w:rPr>
          <w:rFonts w:ascii="宋体" w:hAnsi="宋体" w:cs="宋体"/>
        </w:rPr>
      </w:pPr>
      <w:bookmarkStart w:id="164" w:name="_Toc26613_WPSOffice_Level2"/>
      <w:bookmarkStart w:id="165" w:name="_Toc28453_WPSOffice_Level2"/>
      <w:bookmarkStart w:id="166" w:name="_Toc17019_WPSOffice_Level2"/>
      <w:bookmarkStart w:id="167" w:name="_Toc1734_WPSOffice_Level2"/>
      <w:bookmarkStart w:id="168" w:name="_Toc18948"/>
      <w:bookmarkStart w:id="169" w:name="_Toc11544_WPSOffice_Level2"/>
      <w:r>
        <w:rPr>
          <w:rFonts w:hint="eastAsia" w:ascii="宋体" w:hAnsi="宋体" w:cs="宋体"/>
        </w:rPr>
        <w:t>8.5噪声监测分析过程中的质量保证和质量控制</w:t>
      </w:r>
      <w:bookmarkEnd w:id="164"/>
      <w:bookmarkEnd w:id="165"/>
      <w:bookmarkEnd w:id="166"/>
      <w:bookmarkEnd w:id="167"/>
      <w:bookmarkEnd w:id="168"/>
      <w:bookmarkEnd w:id="169"/>
    </w:p>
    <w:p>
      <w:pPr>
        <w:ind w:firstLine="560"/>
      </w:pPr>
      <w:r>
        <w:rPr>
          <w:rFonts w:hint="eastAsia"/>
        </w:rPr>
        <w:t>测量仪器和校准仪器定期检验合格，并在有效期内使用；每次测量前、后在测量现场进行声学校准，其前、后校准示值偏差不得大于0.5dB，否则测量结果无效。噪声测量前后校准情况见表8-3。</w:t>
      </w:r>
    </w:p>
    <w:p>
      <w:pPr>
        <w:ind w:firstLine="480"/>
        <w:jc w:val="center"/>
        <w:rPr>
          <w:sz w:val="24"/>
        </w:rPr>
      </w:pPr>
      <w:bookmarkStart w:id="170" w:name="_Toc13954_WPSOffice_Level2"/>
      <w:bookmarkStart w:id="171" w:name="_Toc17314_WPSOffice_Level2"/>
      <w:bookmarkStart w:id="172" w:name="_Toc3175_WPSOffice_Level3"/>
      <w:bookmarkStart w:id="173" w:name="_Toc15466_WPSOffice_Level2"/>
      <w:bookmarkStart w:id="174" w:name="_Toc12442_WPSOffice_Level2"/>
      <w:bookmarkStart w:id="175" w:name="_Toc15318_WPSOffice_Level2"/>
      <w:r>
        <w:rPr>
          <w:rFonts w:hint="eastAsia"/>
          <w:sz w:val="24"/>
        </w:rPr>
        <w:t>表8-3 噪声测量前后校准结果</w:t>
      </w:r>
      <w:bookmarkEnd w:id="170"/>
      <w:bookmarkEnd w:id="171"/>
      <w:bookmarkEnd w:id="172"/>
      <w:bookmarkEnd w:id="173"/>
      <w:bookmarkEnd w:id="174"/>
      <w:bookmarkEnd w:id="175"/>
    </w:p>
    <w:tbl>
      <w:tblPr>
        <w:tblStyle w:val="20"/>
        <w:tblW w:w="8787"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089"/>
        <w:gridCol w:w="1530"/>
        <w:gridCol w:w="1651"/>
        <w:gridCol w:w="1758"/>
        <w:gridCol w:w="1759"/>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89" w:type="dxa"/>
            <w:vMerge w:val="restart"/>
            <w:tcBorders>
              <w:tl2br w:val="nil"/>
              <w:tr2bl w:val="nil"/>
            </w:tcBorders>
            <w:vAlign w:val="center"/>
          </w:tcPr>
          <w:p>
            <w:pPr>
              <w:pStyle w:val="25"/>
              <w:ind w:firstLine="480"/>
              <w:rPr>
                <w:sz w:val="24"/>
              </w:rPr>
            </w:pPr>
            <w:r>
              <w:rPr>
                <w:rFonts w:hint="eastAsia"/>
                <w:sz w:val="24"/>
              </w:rPr>
              <w:t>日期</w:t>
            </w:r>
          </w:p>
        </w:tc>
        <w:tc>
          <w:tcPr>
            <w:tcW w:w="4939" w:type="dxa"/>
            <w:gridSpan w:val="3"/>
            <w:tcBorders>
              <w:tl2br w:val="nil"/>
              <w:tr2bl w:val="nil"/>
            </w:tcBorders>
            <w:vAlign w:val="center"/>
          </w:tcPr>
          <w:p>
            <w:pPr>
              <w:pStyle w:val="25"/>
              <w:ind w:firstLine="480"/>
              <w:rPr>
                <w:sz w:val="24"/>
              </w:rPr>
            </w:pPr>
            <w:r>
              <w:rPr>
                <w:rFonts w:hint="eastAsia"/>
                <w:sz w:val="24"/>
              </w:rPr>
              <w:t>校准声级dB（A）</w:t>
            </w:r>
          </w:p>
        </w:tc>
        <w:tc>
          <w:tcPr>
            <w:tcW w:w="1759" w:type="dxa"/>
            <w:vMerge w:val="restart"/>
            <w:tcBorders>
              <w:tl2br w:val="nil"/>
              <w:tr2bl w:val="nil"/>
            </w:tcBorders>
            <w:vAlign w:val="center"/>
          </w:tcPr>
          <w:p>
            <w:pPr>
              <w:pStyle w:val="25"/>
              <w:ind w:firstLine="480"/>
              <w:rPr>
                <w:sz w:val="24"/>
              </w:rPr>
            </w:pPr>
            <w:r>
              <w:rPr>
                <w:rFonts w:hint="eastAsia"/>
                <w:sz w:val="24"/>
              </w:rPr>
              <w:t>备注</w:t>
            </w:r>
          </w:p>
          <w:p>
            <w:pPr>
              <w:pStyle w:val="25"/>
              <w:ind w:firstLine="480"/>
              <w:rPr>
                <w:sz w:val="24"/>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89" w:type="dxa"/>
            <w:vMerge w:val="continue"/>
            <w:tcBorders>
              <w:tl2br w:val="nil"/>
              <w:tr2bl w:val="nil"/>
            </w:tcBorders>
            <w:vAlign w:val="center"/>
          </w:tcPr>
          <w:p>
            <w:pPr>
              <w:pStyle w:val="25"/>
              <w:ind w:firstLine="480"/>
              <w:rPr>
                <w:sz w:val="24"/>
              </w:rPr>
            </w:pPr>
          </w:p>
        </w:tc>
        <w:tc>
          <w:tcPr>
            <w:tcW w:w="1530" w:type="dxa"/>
            <w:tcBorders>
              <w:tl2br w:val="nil"/>
              <w:tr2bl w:val="nil"/>
            </w:tcBorders>
            <w:vAlign w:val="center"/>
          </w:tcPr>
          <w:p>
            <w:pPr>
              <w:pStyle w:val="25"/>
              <w:ind w:firstLine="480"/>
              <w:rPr>
                <w:sz w:val="24"/>
              </w:rPr>
            </w:pPr>
            <w:r>
              <w:rPr>
                <w:rFonts w:hint="eastAsia"/>
                <w:sz w:val="24"/>
              </w:rPr>
              <w:t>校准值</w:t>
            </w:r>
          </w:p>
        </w:tc>
        <w:tc>
          <w:tcPr>
            <w:tcW w:w="1651" w:type="dxa"/>
            <w:tcBorders>
              <w:tl2br w:val="nil"/>
              <w:tr2bl w:val="nil"/>
            </w:tcBorders>
            <w:vAlign w:val="center"/>
          </w:tcPr>
          <w:p>
            <w:pPr>
              <w:pStyle w:val="25"/>
              <w:ind w:firstLine="480"/>
              <w:rPr>
                <w:sz w:val="24"/>
              </w:rPr>
            </w:pPr>
            <w:r>
              <w:rPr>
                <w:rFonts w:hint="eastAsia"/>
                <w:sz w:val="24"/>
              </w:rPr>
              <w:t>测量后</w:t>
            </w:r>
          </w:p>
        </w:tc>
        <w:tc>
          <w:tcPr>
            <w:tcW w:w="1758" w:type="dxa"/>
            <w:tcBorders>
              <w:tl2br w:val="nil"/>
              <w:tr2bl w:val="nil"/>
            </w:tcBorders>
            <w:vAlign w:val="center"/>
          </w:tcPr>
          <w:p>
            <w:pPr>
              <w:pStyle w:val="25"/>
              <w:ind w:firstLine="480"/>
              <w:rPr>
                <w:sz w:val="24"/>
              </w:rPr>
            </w:pPr>
            <w:r>
              <w:rPr>
                <w:rFonts w:hint="eastAsia"/>
                <w:sz w:val="24"/>
              </w:rPr>
              <w:t>差值</w:t>
            </w:r>
          </w:p>
        </w:tc>
        <w:tc>
          <w:tcPr>
            <w:tcW w:w="1759" w:type="dxa"/>
            <w:vMerge w:val="continue"/>
            <w:tcBorders>
              <w:tl2br w:val="nil"/>
              <w:tr2bl w:val="nil"/>
            </w:tcBorders>
            <w:vAlign w:val="center"/>
          </w:tcPr>
          <w:p>
            <w:pPr>
              <w:pStyle w:val="25"/>
              <w:ind w:firstLine="480"/>
              <w:rPr>
                <w:sz w:val="24"/>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89" w:type="dxa"/>
            <w:vMerge w:val="restart"/>
            <w:tcBorders>
              <w:tl2br w:val="nil"/>
              <w:tr2bl w:val="nil"/>
            </w:tcBorders>
            <w:vAlign w:val="center"/>
          </w:tcPr>
          <w:p>
            <w:pPr>
              <w:pStyle w:val="25"/>
              <w:ind w:firstLine="0" w:firstLineChars="0"/>
              <w:jc w:val="both"/>
              <w:rPr>
                <w:sz w:val="24"/>
              </w:rPr>
            </w:pPr>
            <w:r>
              <w:rPr>
                <w:rFonts w:hint="eastAsia"/>
                <w:sz w:val="24"/>
              </w:rPr>
              <w:t>2018年5月1日</w:t>
            </w:r>
          </w:p>
        </w:tc>
        <w:tc>
          <w:tcPr>
            <w:tcW w:w="1530" w:type="dxa"/>
            <w:tcBorders>
              <w:tl2br w:val="nil"/>
              <w:tr2bl w:val="nil"/>
            </w:tcBorders>
            <w:vAlign w:val="center"/>
          </w:tcPr>
          <w:p>
            <w:pPr>
              <w:pStyle w:val="25"/>
              <w:ind w:firstLine="480"/>
              <w:rPr>
                <w:sz w:val="24"/>
              </w:rPr>
            </w:pPr>
            <w:r>
              <w:rPr>
                <w:rFonts w:hint="eastAsia"/>
                <w:sz w:val="24"/>
              </w:rPr>
              <w:t>93.8</w:t>
            </w:r>
          </w:p>
        </w:tc>
        <w:tc>
          <w:tcPr>
            <w:tcW w:w="1651" w:type="dxa"/>
            <w:tcBorders>
              <w:tl2br w:val="nil"/>
              <w:tr2bl w:val="nil"/>
            </w:tcBorders>
            <w:vAlign w:val="center"/>
          </w:tcPr>
          <w:p>
            <w:pPr>
              <w:pStyle w:val="25"/>
              <w:ind w:firstLine="480"/>
              <w:rPr>
                <w:sz w:val="24"/>
              </w:rPr>
            </w:pPr>
            <w:r>
              <w:rPr>
                <w:rFonts w:hint="eastAsia"/>
                <w:sz w:val="24"/>
              </w:rPr>
              <w:t>93.6</w:t>
            </w:r>
          </w:p>
        </w:tc>
        <w:tc>
          <w:tcPr>
            <w:tcW w:w="1758" w:type="dxa"/>
            <w:tcBorders>
              <w:tl2br w:val="nil"/>
              <w:tr2bl w:val="nil"/>
            </w:tcBorders>
            <w:vAlign w:val="center"/>
          </w:tcPr>
          <w:p>
            <w:pPr>
              <w:pStyle w:val="25"/>
              <w:ind w:firstLine="480"/>
              <w:rPr>
                <w:sz w:val="24"/>
              </w:rPr>
            </w:pPr>
            <w:r>
              <w:rPr>
                <w:rFonts w:hint="eastAsia"/>
                <w:sz w:val="24"/>
              </w:rPr>
              <w:t>0.2</w:t>
            </w:r>
          </w:p>
        </w:tc>
        <w:tc>
          <w:tcPr>
            <w:tcW w:w="1759" w:type="dxa"/>
            <w:vMerge w:val="restart"/>
            <w:tcBorders>
              <w:tl2br w:val="nil"/>
              <w:tr2bl w:val="nil"/>
            </w:tcBorders>
            <w:vAlign w:val="center"/>
          </w:tcPr>
          <w:p>
            <w:pPr>
              <w:pStyle w:val="25"/>
              <w:ind w:firstLine="480"/>
              <w:rPr>
                <w:sz w:val="24"/>
              </w:rPr>
            </w:pPr>
            <w:r>
              <w:rPr>
                <w:rFonts w:hint="eastAsia"/>
                <w:sz w:val="24"/>
              </w:rPr>
              <w:t>测量前、后校准声极差小于0.5dB（A）有效</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89" w:type="dxa"/>
            <w:vMerge w:val="continue"/>
            <w:tcBorders>
              <w:tl2br w:val="nil"/>
              <w:tr2bl w:val="nil"/>
            </w:tcBorders>
            <w:vAlign w:val="center"/>
          </w:tcPr>
          <w:p>
            <w:pPr>
              <w:pStyle w:val="25"/>
              <w:ind w:firstLine="480"/>
              <w:rPr>
                <w:sz w:val="24"/>
              </w:rPr>
            </w:pPr>
          </w:p>
        </w:tc>
        <w:tc>
          <w:tcPr>
            <w:tcW w:w="1530" w:type="dxa"/>
            <w:tcBorders>
              <w:tl2br w:val="nil"/>
              <w:tr2bl w:val="nil"/>
            </w:tcBorders>
            <w:vAlign w:val="center"/>
          </w:tcPr>
          <w:p>
            <w:pPr>
              <w:pStyle w:val="25"/>
              <w:ind w:firstLine="480"/>
              <w:rPr>
                <w:sz w:val="24"/>
              </w:rPr>
            </w:pPr>
            <w:r>
              <w:rPr>
                <w:rFonts w:hint="eastAsia"/>
                <w:sz w:val="24"/>
              </w:rPr>
              <w:t>93.8</w:t>
            </w:r>
          </w:p>
        </w:tc>
        <w:tc>
          <w:tcPr>
            <w:tcW w:w="1651" w:type="dxa"/>
            <w:tcBorders>
              <w:tl2br w:val="nil"/>
              <w:tr2bl w:val="nil"/>
            </w:tcBorders>
            <w:vAlign w:val="center"/>
          </w:tcPr>
          <w:p>
            <w:pPr>
              <w:pStyle w:val="25"/>
              <w:ind w:firstLine="480"/>
              <w:rPr>
                <w:sz w:val="24"/>
              </w:rPr>
            </w:pPr>
            <w:r>
              <w:rPr>
                <w:rFonts w:hint="eastAsia"/>
                <w:sz w:val="24"/>
              </w:rPr>
              <w:t>93.6</w:t>
            </w:r>
          </w:p>
        </w:tc>
        <w:tc>
          <w:tcPr>
            <w:tcW w:w="1758" w:type="dxa"/>
            <w:tcBorders>
              <w:tl2br w:val="nil"/>
              <w:tr2bl w:val="nil"/>
            </w:tcBorders>
            <w:vAlign w:val="center"/>
          </w:tcPr>
          <w:p>
            <w:pPr>
              <w:pStyle w:val="25"/>
              <w:ind w:firstLine="480"/>
              <w:rPr>
                <w:sz w:val="24"/>
              </w:rPr>
            </w:pPr>
            <w:r>
              <w:rPr>
                <w:rFonts w:hint="eastAsia"/>
                <w:sz w:val="24"/>
              </w:rPr>
              <w:t>0.2</w:t>
            </w:r>
          </w:p>
        </w:tc>
        <w:tc>
          <w:tcPr>
            <w:tcW w:w="1759" w:type="dxa"/>
            <w:vMerge w:val="continue"/>
            <w:tcBorders>
              <w:tl2br w:val="nil"/>
              <w:tr2bl w:val="nil"/>
            </w:tcBorders>
            <w:vAlign w:val="center"/>
          </w:tcPr>
          <w:p>
            <w:pPr>
              <w:pStyle w:val="25"/>
              <w:ind w:firstLine="480"/>
              <w:rPr>
                <w:sz w:val="24"/>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89" w:type="dxa"/>
            <w:vMerge w:val="restart"/>
            <w:tcBorders>
              <w:tl2br w:val="nil"/>
              <w:tr2bl w:val="nil"/>
            </w:tcBorders>
            <w:vAlign w:val="center"/>
          </w:tcPr>
          <w:p>
            <w:pPr>
              <w:pStyle w:val="25"/>
              <w:ind w:firstLine="0" w:firstLineChars="0"/>
              <w:jc w:val="both"/>
              <w:rPr>
                <w:sz w:val="24"/>
              </w:rPr>
            </w:pPr>
            <w:r>
              <w:rPr>
                <w:rFonts w:hint="eastAsia"/>
                <w:sz w:val="24"/>
              </w:rPr>
              <w:t>2018年5月2日</w:t>
            </w:r>
          </w:p>
        </w:tc>
        <w:tc>
          <w:tcPr>
            <w:tcW w:w="1530" w:type="dxa"/>
            <w:tcBorders>
              <w:tl2br w:val="nil"/>
              <w:tr2bl w:val="nil"/>
            </w:tcBorders>
            <w:vAlign w:val="center"/>
          </w:tcPr>
          <w:p>
            <w:pPr>
              <w:pStyle w:val="25"/>
              <w:ind w:firstLine="480"/>
              <w:rPr>
                <w:sz w:val="24"/>
              </w:rPr>
            </w:pPr>
            <w:r>
              <w:rPr>
                <w:rFonts w:hint="eastAsia"/>
                <w:sz w:val="24"/>
              </w:rPr>
              <w:t>93.8</w:t>
            </w:r>
          </w:p>
        </w:tc>
        <w:tc>
          <w:tcPr>
            <w:tcW w:w="1651" w:type="dxa"/>
            <w:tcBorders>
              <w:tl2br w:val="nil"/>
              <w:tr2bl w:val="nil"/>
            </w:tcBorders>
            <w:vAlign w:val="center"/>
          </w:tcPr>
          <w:p>
            <w:pPr>
              <w:pStyle w:val="25"/>
              <w:ind w:firstLine="480"/>
              <w:rPr>
                <w:sz w:val="24"/>
              </w:rPr>
            </w:pPr>
            <w:r>
              <w:rPr>
                <w:rFonts w:hint="eastAsia"/>
                <w:sz w:val="24"/>
              </w:rPr>
              <w:t>93.6</w:t>
            </w:r>
          </w:p>
        </w:tc>
        <w:tc>
          <w:tcPr>
            <w:tcW w:w="1758" w:type="dxa"/>
            <w:tcBorders>
              <w:tl2br w:val="nil"/>
              <w:tr2bl w:val="nil"/>
            </w:tcBorders>
            <w:vAlign w:val="center"/>
          </w:tcPr>
          <w:p>
            <w:pPr>
              <w:pStyle w:val="25"/>
              <w:ind w:firstLine="480"/>
              <w:rPr>
                <w:sz w:val="24"/>
              </w:rPr>
            </w:pPr>
            <w:r>
              <w:rPr>
                <w:rFonts w:hint="eastAsia"/>
                <w:sz w:val="24"/>
              </w:rPr>
              <w:t>0.2</w:t>
            </w:r>
          </w:p>
        </w:tc>
        <w:tc>
          <w:tcPr>
            <w:tcW w:w="1759" w:type="dxa"/>
            <w:vMerge w:val="continue"/>
            <w:tcBorders>
              <w:tl2br w:val="nil"/>
              <w:tr2bl w:val="nil"/>
            </w:tcBorders>
            <w:vAlign w:val="center"/>
          </w:tcPr>
          <w:p>
            <w:pPr>
              <w:pStyle w:val="25"/>
              <w:ind w:firstLine="480"/>
              <w:rPr>
                <w:sz w:val="24"/>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89" w:type="dxa"/>
            <w:vMerge w:val="continue"/>
            <w:tcBorders>
              <w:tl2br w:val="nil"/>
              <w:tr2bl w:val="nil"/>
            </w:tcBorders>
            <w:vAlign w:val="center"/>
          </w:tcPr>
          <w:p>
            <w:pPr>
              <w:pStyle w:val="25"/>
              <w:ind w:firstLine="480"/>
              <w:rPr>
                <w:sz w:val="24"/>
              </w:rPr>
            </w:pPr>
          </w:p>
        </w:tc>
        <w:tc>
          <w:tcPr>
            <w:tcW w:w="1530" w:type="dxa"/>
            <w:tcBorders>
              <w:tl2br w:val="nil"/>
              <w:tr2bl w:val="nil"/>
            </w:tcBorders>
            <w:vAlign w:val="center"/>
          </w:tcPr>
          <w:p>
            <w:pPr>
              <w:pStyle w:val="25"/>
              <w:ind w:firstLine="480"/>
              <w:rPr>
                <w:sz w:val="24"/>
              </w:rPr>
            </w:pPr>
            <w:r>
              <w:rPr>
                <w:rFonts w:hint="eastAsia"/>
                <w:sz w:val="24"/>
              </w:rPr>
              <w:t>93.8</w:t>
            </w:r>
          </w:p>
        </w:tc>
        <w:tc>
          <w:tcPr>
            <w:tcW w:w="1651" w:type="dxa"/>
            <w:tcBorders>
              <w:tl2br w:val="nil"/>
              <w:tr2bl w:val="nil"/>
            </w:tcBorders>
            <w:vAlign w:val="center"/>
          </w:tcPr>
          <w:p>
            <w:pPr>
              <w:pStyle w:val="25"/>
              <w:ind w:firstLine="480"/>
              <w:rPr>
                <w:sz w:val="24"/>
              </w:rPr>
            </w:pPr>
            <w:r>
              <w:rPr>
                <w:rFonts w:hint="eastAsia"/>
                <w:sz w:val="24"/>
              </w:rPr>
              <w:t>93.6</w:t>
            </w:r>
          </w:p>
        </w:tc>
        <w:tc>
          <w:tcPr>
            <w:tcW w:w="1758" w:type="dxa"/>
            <w:tcBorders>
              <w:tl2br w:val="nil"/>
              <w:tr2bl w:val="nil"/>
            </w:tcBorders>
            <w:vAlign w:val="center"/>
          </w:tcPr>
          <w:p>
            <w:pPr>
              <w:pStyle w:val="25"/>
              <w:ind w:firstLine="480"/>
              <w:rPr>
                <w:sz w:val="24"/>
              </w:rPr>
            </w:pPr>
            <w:r>
              <w:rPr>
                <w:rFonts w:hint="eastAsia"/>
                <w:sz w:val="24"/>
              </w:rPr>
              <w:t>0.2</w:t>
            </w:r>
          </w:p>
        </w:tc>
        <w:tc>
          <w:tcPr>
            <w:tcW w:w="1759" w:type="dxa"/>
            <w:vMerge w:val="continue"/>
            <w:tcBorders>
              <w:tl2br w:val="nil"/>
              <w:tr2bl w:val="nil"/>
            </w:tcBorders>
            <w:vAlign w:val="center"/>
          </w:tcPr>
          <w:p>
            <w:pPr>
              <w:pStyle w:val="25"/>
              <w:ind w:firstLine="480"/>
              <w:rPr>
                <w:sz w:val="24"/>
              </w:rPr>
            </w:pPr>
          </w:p>
        </w:tc>
      </w:tr>
    </w:tbl>
    <w:p>
      <w:pPr>
        <w:ind w:firstLine="560"/>
        <w:sectPr>
          <w:pgSz w:w="11906" w:h="16838"/>
          <w:pgMar w:top="1440" w:right="1800" w:bottom="1440" w:left="1800" w:header="851" w:footer="992" w:gutter="0"/>
          <w:cols w:space="425" w:num="1"/>
          <w:docGrid w:type="lines" w:linePitch="312" w:charSpace="0"/>
        </w:sectPr>
      </w:pPr>
    </w:p>
    <w:p>
      <w:pPr>
        <w:pStyle w:val="5"/>
        <w:ind w:left="1099" w:hanging="1099"/>
      </w:pPr>
      <w:bookmarkStart w:id="176" w:name="_Toc7904_WPSOffice_Level1"/>
      <w:bookmarkStart w:id="177" w:name="_Toc509998958"/>
      <w:bookmarkStart w:id="178" w:name="_Toc32151_WPSOffice_Level1"/>
      <w:r>
        <w:rPr>
          <w:rFonts w:hint="eastAsia"/>
        </w:rPr>
        <w:t>九、</w:t>
      </w:r>
      <w:r>
        <w:t>验收监测</w:t>
      </w:r>
      <w:r>
        <w:rPr>
          <w:rFonts w:hint="eastAsia"/>
        </w:rPr>
        <w:t>结果</w:t>
      </w:r>
      <w:bookmarkEnd w:id="176"/>
      <w:bookmarkEnd w:id="177"/>
      <w:bookmarkEnd w:id="178"/>
    </w:p>
    <w:p>
      <w:pPr>
        <w:pStyle w:val="6"/>
        <w:ind w:firstLine="0" w:firstLineChars="0"/>
      </w:pPr>
      <w:bookmarkStart w:id="179" w:name="_Toc3076_WPSOffice_Level2"/>
      <w:bookmarkStart w:id="180" w:name="_Toc16071_WPSOffice_Level2"/>
      <w:bookmarkStart w:id="181" w:name="_Toc17319_WPSOffice_Level2"/>
      <w:r>
        <w:rPr>
          <w:rFonts w:hint="eastAsia"/>
        </w:rPr>
        <w:t>9.1 生产工况</w:t>
      </w:r>
      <w:bookmarkEnd w:id="179"/>
      <w:bookmarkEnd w:id="180"/>
      <w:bookmarkEnd w:id="181"/>
    </w:p>
    <w:p>
      <w:pPr>
        <w:pStyle w:val="6"/>
        <w:numPr>
          <w:ilvl w:val="1"/>
          <w:numId w:val="0"/>
        </w:numPr>
        <w:ind w:firstLine="560" w:firstLineChars="200"/>
        <w:rPr>
          <w:rFonts w:ascii="宋体" w:hAnsi="宋体" w:cs="宋体"/>
        </w:rPr>
      </w:pPr>
      <w:r>
        <w:rPr>
          <w:rFonts w:hint="eastAsia" w:ascii="宋体" w:hAnsi="宋体" w:cs="宋体"/>
          <w:b w:val="0"/>
          <w:bCs/>
        </w:rPr>
        <w:t>潍坊万汇置业有限公司万汇·滨河花园小区竣工环境保护验收监测工作于2018年5月1日至2日进行。通过现场勘查，在验收监测期间，本次验收项目主体工程、管网、绿化已经完工，项目区管道已经接入城市管网。本项目房产已全部售完，出售率已达到100%，满足验收要求，根据该项目产生的主要污染物和环保设施运行情况，确定本次验收监测内容为废水和噪声。</w:t>
      </w:r>
    </w:p>
    <w:p>
      <w:pPr>
        <w:pStyle w:val="6"/>
        <w:ind w:firstLine="0" w:firstLineChars="0"/>
      </w:pPr>
      <w:bookmarkStart w:id="182" w:name="_Toc29762_WPSOffice_Level2"/>
      <w:bookmarkStart w:id="183" w:name="_Toc27780_WPSOffice_Level2"/>
      <w:bookmarkStart w:id="184" w:name="_Toc21749_WPSOffice_Level2"/>
      <w:r>
        <w:rPr>
          <w:rFonts w:hint="eastAsia"/>
        </w:rPr>
        <w:t>9.2 环境保设施调试效果</w:t>
      </w:r>
      <w:bookmarkEnd w:id="182"/>
      <w:bookmarkEnd w:id="183"/>
      <w:bookmarkEnd w:id="184"/>
    </w:p>
    <w:p>
      <w:pPr>
        <w:pStyle w:val="7"/>
        <w:numPr>
          <w:ilvl w:val="2"/>
          <w:numId w:val="0"/>
        </w:numPr>
      </w:pPr>
      <w:bookmarkStart w:id="185" w:name="_Toc7114_WPSOffice_Level3"/>
      <w:r>
        <w:rPr>
          <w:rFonts w:hint="eastAsia"/>
        </w:rPr>
        <w:t>9.2.1污染物达标排放监测结果</w:t>
      </w:r>
      <w:bookmarkEnd w:id="185"/>
    </w:p>
    <w:p>
      <w:pPr>
        <w:ind w:firstLine="560"/>
        <w:rPr>
          <w:rFonts w:ascii="宋体" w:hAnsi="宋体" w:cs="宋体"/>
        </w:rPr>
      </w:pPr>
      <w:r>
        <w:rPr>
          <w:rFonts w:hint="eastAsia" w:ascii="宋体" w:hAnsi="宋体" w:cs="宋体"/>
        </w:rPr>
        <w:t>（1）废水</w:t>
      </w:r>
    </w:p>
    <w:p>
      <w:pPr>
        <w:ind w:firstLine="560"/>
        <w:rPr>
          <w:rFonts w:ascii="宋体" w:hAnsi="宋体" w:cs="宋体"/>
        </w:rPr>
      </w:pPr>
      <w:r>
        <w:rPr>
          <w:rFonts w:hint="eastAsia" w:ascii="宋体" w:hAnsi="宋体" w:cs="宋体"/>
        </w:rPr>
        <w:t>本项目厂区污水总排口废水监测结果见表9-1。</w:t>
      </w:r>
    </w:p>
    <w:p>
      <w:pPr>
        <w:ind w:firstLine="560"/>
        <w:jc w:val="center"/>
        <w:rPr>
          <w:rFonts w:ascii="宋体" w:hAnsi="宋体" w:cs="宋体"/>
        </w:rPr>
      </w:pPr>
      <w:bookmarkStart w:id="186" w:name="_Toc12785_WPSOffice_Level3"/>
      <w:bookmarkStart w:id="187" w:name="_Toc20699_WPSOffice_Level2"/>
      <w:bookmarkStart w:id="188" w:name="_Toc19955_WPSOffice_Level2"/>
      <w:r>
        <w:rPr>
          <w:rFonts w:hint="eastAsia" w:ascii="宋体" w:hAnsi="宋体" w:cs="宋体"/>
        </w:rPr>
        <w:t>表9-1 本项目厂区污水总排口废水监测结果</w:t>
      </w:r>
      <w:bookmarkEnd w:id="186"/>
      <w:bookmarkEnd w:id="187"/>
      <w:bookmarkEnd w:id="188"/>
    </w:p>
    <w:tbl>
      <w:tblPr>
        <w:tblStyle w:val="19"/>
        <w:tblW w:w="8787"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183"/>
        <w:gridCol w:w="1163"/>
        <w:gridCol w:w="816"/>
        <w:gridCol w:w="1697"/>
        <w:gridCol w:w="1710"/>
        <w:gridCol w:w="1062"/>
        <w:gridCol w:w="1156"/>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Align w:val="center"/>
          </w:tcPr>
          <w:p>
            <w:pPr>
              <w:pStyle w:val="26"/>
            </w:pPr>
            <w:r>
              <w:t>采样点位</w:t>
            </w:r>
          </w:p>
        </w:tc>
        <w:tc>
          <w:tcPr>
            <w:tcW w:w="1163" w:type="dxa"/>
            <w:vAlign w:val="center"/>
          </w:tcPr>
          <w:p>
            <w:pPr>
              <w:pStyle w:val="26"/>
            </w:pPr>
            <w:r>
              <w:t>采样时间</w:t>
            </w:r>
          </w:p>
        </w:tc>
        <w:tc>
          <w:tcPr>
            <w:tcW w:w="2513" w:type="dxa"/>
            <w:gridSpan w:val="2"/>
            <w:vAlign w:val="center"/>
          </w:tcPr>
          <w:p>
            <w:pPr>
              <w:pStyle w:val="26"/>
            </w:pPr>
            <w:r>
              <w:t>样品编号</w:t>
            </w:r>
          </w:p>
        </w:tc>
        <w:tc>
          <w:tcPr>
            <w:tcW w:w="1710" w:type="dxa"/>
            <w:tcBorders>
              <w:right w:val="single" w:color="auto" w:sz="4" w:space="0"/>
            </w:tcBorders>
            <w:vAlign w:val="center"/>
          </w:tcPr>
          <w:p>
            <w:pPr>
              <w:pStyle w:val="26"/>
            </w:pPr>
            <w:r>
              <w:t>检测项目</w:t>
            </w:r>
          </w:p>
        </w:tc>
        <w:tc>
          <w:tcPr>
            <w:tcW w:w="1062" w:type="dxa"/>
            <w:tcBorders>
              <w:left w:val="single" w:color="auto" w:sz="4" w:space="0"/>
              <w:right w:val="single" w:color="auto" w:sz="4" w:space="0"/>
            </w:tcBorders>
            <w:vAlign w:val="center"/>
          </w:tcPr>
          <w:p>
            <w:pPr>
              <w:pStyle w:val="26"/>
            </w:pPr>
            <w:r>
              <w:t>计量单位</w:t>
            </w:r>
          </w:p>
        </w:tc>
        <w:tc>
          <w:tcPr>
            <w:tcW w:w="1156" w:type="dxa"/>
            <w:vAlign w:val="center"/>
          </w:tcPr>
          <w:p>
            <w:pPr>
              <w:pStyle w:val="26"/>
            </w:pPr>
            <w:r>
              <w:t>检测结果</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restart"/>
            <w:vAlign w:val="center"/>
          </w:tcPr>
          <w:p>
            <w:pPr>
              <w:pStyle w:val="26"/>
            </w:pPr>
            <w:r>
              <w:rPr>
                <w:rFonts w:hint="eastAsia"/>
              </w:rPr>
              <w:t>生活废水排污口</w:t>
            </w:r>
          </w:p>
        </w:tc>
        <w:tc>
          <w:tcPr>
            <w:tcW w:w="1163" w:type="dxa"/>
            <w:vMerge w:val="restart"/>
            <w:vAlign w:val="center"/>
          </w:tcPr>
          <w:p>
            <w:pPr>
              <w:pStyle w:val="26"/>
            </w:pPr>
            <w:r>
              <w:rPr>
                <w:rFonts w:hint="eastAsia"/>
              </w:rPr>
              <w:t>2018.05.01</w:t>
            </w:r>
          </w:p>
        </w:tc>
        <w:tc>
          <w:tcPr>
            <w:tcW w:w="816" w:type="dxa"/>
            <w:vMerge w:val="restart"/>
            <w:vAlign w:val="center"/>
          </w:tcPr>
          <w:p>
            <w:pPr>
              <w:pStyle w:val="26"/>
            </w:pPr>
            <w:r>
              <w:rPr>
                <w:rFonts w:hint="eastAsia"/>
              </w:rPr>
              <w:t>第一次</w:t>
            </w:r>
          </w:p>
        </w:tc>
        <w:tc>
          <w:tcPr>
            <w:tcW w:w="1697" w:type="dxa"/>
            <w:vMerge w:val="restart"/>
            <w:vAlign w:val="center"/>
          </w:tcPr>
          <w:p>
            <w:pPr>
              <w:pStyle w:val="26"/>
            </w:pPr>
            <w:r>
              <w:rPr>
                <w:rFonts w:hint="eastAsia"/>
              </w:rPr>
              <w:t>W1800502A8-01</w:t>
            </w:r>
          </w:p>
        </w:tc>
        <w:tc>
          <w:tcPr>
            <w:tcW w:w="1710" w:type="dxa"/>
            <w:tcBorders>
              <w:right w:val="single" w:color="auto" w:sz="4" w:space="0"/>
            </w:tcBorders>
            <w:vAlign w:val="center"/>
          </w:tcPr>
          <w:p>
            <w:pPr>
              <w:pStyle w:val="26"/>
            </w:pPr>
            <w:r>
              <w:rPr>
                <w:rFonts w:hint="eastAsia"/>
              </w:rPr>
              <w:t>pH值</w:t>
            </w:r>
          </w:p>
        </w:tc>
        <w:tc>
          <w:tcPr>
            <w:tcW w:w="1062" w:type="dxa"/>
            <w:tcBorders>
              <w:left w:val="single" w:color="auto" w:sz="4" w:space="0"/>
              <w:right w:val="single" w:color="auto" w:sz="4" w:space="0"/>
            </w:tcBorders>
            <w:vAlign w:val="center"/>
          </w:tcPr>
          <w:p>
            <w:pPr>
              <w:pStyle w:val="26"/>
            </w:pPr>
            <w:r>
              <w:rPr>
                <w:rFonts w:hint="eastAsia"/>
              </w:rPr>
              <w:t>无量纲</w:t>
            </w:r>
          </w:p>
        </w:tc>
        <w:tc>
          <w:tcPr>
            <w:tcW w:w="1156" w:type="dxa"/>
            <w:vAlign w:val="center"/>
          </w:tcPr>
          <w:p>
            <w:pPr>
              <w:pStyle w:val="26"/>
            </w:pPr>
            <w:r>
              <w:rPr>
                <w:rFonts w:hint="eastAsia"/>
              </w:rPr>
              <w:t>7.51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化学需氧量</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326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悬浮物</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159</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五日生化需氧量</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115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氨氮</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18.6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restart"/>
            <w:vAlign w:val="center"/>
          </w:tcPr>
          <w:p>
            <w:pPr>
              <w:pStyle w:val="26"/>
            </w:pPr>
            <w:r>
              <w:rPr>
                <w:rFonts w:hint="eastAsia"/>
              </w:rPr>
              <w:t>第二次</w:t>
            </w:r>
          </w:p>
        </w:tc>
        <w:tc>
          <w:tcPr>
            <w:tcW w:w="1697" w:type="dxa"/>
            <w:vMerge w:val="restart"/>
            <w:vAlign w:val="center"/>
          </w:tcPr>
          <w:p>
            <w:pPr>
              <w:pStyle w:val="26"/>
            </w:pPr>
            <w:r>
              <w:rPr>
                <w:rFonts w:hint="eastAsia"/>
              </w:rPr>
              <w:t>W1800502A8-02</w:t>
            </w:r>
          </w:p>
        </w:tc>
        <w:tc>
          <w:tcPr>
            <w:tcW w:w="1710" w:type="dxa"/>
            <w:tcBorders>
              <w:right w:val="single" w:color="auto" w:sz="4" w:space="0"/>
            </w:tcBorders>
            <w:vAlign w:val="center"/>
          </w:tcPr>
          <w:p>
            <w:pPr>
              <w:pStyle w:val="26"/>
            </w:pPr>
            <w:r>
              <w:rPr>
                <w:rFonts w:hint="eastAsia"/>
              </w:rPr>
              <w:t>pH值</w:t>
            </w:r>
          </w:p>
        </w:tc>
        <w:tc>
          <w:tcPr>
            <w:tcW w:w="1062" w:type="dxa"/>
            <w:tcBorders>
              <w:left w:val="single" w:color="auto" w:sz="4" w:space="0"/>
              <w:right w:val="single" w:color="auto" w:sz="4" w:space="0"/>
            </w:tcBorders>
            <w:vAlign w:val="center"/>
          </w:tcPr>
          <w:p>
            <w:pPr>
              <w:pStyle w:val="26"/>
            </w:pPr>
            <w:r>
              <w:rPr>
                <w:rFonts w:hint="eastAsia"/>
              </w:rPr>
              <w:t>无量纲</w:t>
            </w:r>
          </w:p>
        </w:tc>
        <w:tc>
          <w:tcPr>
            <w:tcW w:w="1156" w:type="dxa"/>
            <w:vAlign w:val="center"/>
          </w:tcPr>
          <w:p>
            <w:pPr>
              <w:pStyle w:val="26"/>
            </w:pPr>
            <w:r>
              <w:rPr>
                <w:rFonts w:hint="eastAsia"/>
              </w:rPr>
              <w:t>7.28</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化学需氧量</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338</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悬浮物</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142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五日生化需氧量</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119</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氨氮</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19.5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restart"/>
            <w:vAlign w:val="center"/>
          </w:tcPr>
          <w:p>
            <w:pPr>
              <w:pStyle w:val="26"/>
            </w:pPr>
            <w:r>
              <w:rPr>
                <w:rFonts w:hint="eastAsia"/>
              </w:rPr>
              <w:t>第三次</w:t>
            </w:r>
          </w:p>
        </w:tc>
        <w:tc>
          <w:tcPr>
            <w:tcW w:w="1697" w:type="dxa"/>
            <w:vMerge w:val="restart"/>
            <w:vAlign w:val="center"/>
          </w:tcPr>
          <w:p>
            <w:pPr>
              <w:pStyle w:val="26"/>
            </w:pPr>
            <w:r>
              <w:rPr>
                <w:rFonts w:hint="eastAsia"/>
              </w:rPr>
              <w:t>W1800502A8-03</w:t>
            </w:r>
          </w:p>
        </w:tc>
        <w:tc>
          <w:tcPr>
            <w:tcW w:w="1710" w:type="dxa"/>
            <w:tcBorders>
              <w:right w:val="single" w:color="auto" w:sz="4" w:space="0"/>
            </w:tcBorders>
            <w:vAlign w:val="center"/>
          </w:tcPr>
          <w:p>
            <w:pPr>
              <w:pStyle w:val="26"/>
            </w:pPr>
            <w:r>
              <w:rPr>
                <w:rFonts w:hint="eastAsia"/>
              </w:rPr>
              <w:t>pH值</w:t>
            </w:r>
          </w:p>
        </w:tc>
        <w:tc>
          <w:tcPr>
            <w:tcW w:w="1062" w:type="dxa"/>
            <w:tcBorders>
              <w:left w:val="single" w:color="auto" w:sz="4" w:space="0"/>
              <w:right w:val="single" w:color="auto" w:sz="4" w:space="0"/>
            </w:tcBorders>
            <w:vAlign w:val="center"/>
          </w:tcPr>
          <w:p>
            <w:pPr>
              <w:pStyle w:val="26"/>
            </w:pPr>
            <w:r>
              <w:rPr>
                <w:rFonts w:hint="eastAsia"/>
              </w:rPr>
              <w:t>无量纲</w:t>
            </w:r>
          </w:p>
        </w:tc>
        <w:tc>
          <w:tcPr>
            <w:tcW w:w="1156" w:type="dxa"/>
            <w:vAlign w:val="center"/>
          </w:tcPr>
          <w:p>
            <w:pPr>
              <w:pStyle w:val="26"/>
            </w:pPr>
            <w:r>
              <w:rPr>
                <w:rFonts w:hint="eastAsia"/>
              </w:rPr>
              <w:t>7.64</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化学需氧量</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319</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悬浮物</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165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五日生化需氧量</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108</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氨氮</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20.3</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Align w:val="center"/>
          </w:tcPr>
          <w:p>
            <w:pPr>
              <w:pStyle w:val="26"/>
            </w:pPr>
            <w:r>
              <w:rPr>
                <w:rFonts w:hint="eastAsia"/>
              </w:rPr>
              <w:t>备注</w:t>
            </w:r>
          </w:p>
        </w:tc>
        <w:tc>
          <w:tcPr>
            <w:tcW w:w="7604" w:type="dxa"/>
            <w:gridSpan w:val="6"/>
            <w:vAlign w:val="center"/>
          </w:tcPr>
          <w:p>
            <w:pPr>
              <w:pStyle w:val="26"/>
            </w:pPr>
            <w:r>
              <w:rPr>
                <w:rFonts w:hint="eastAsia"/>
              </w:rPr>
              <w:t>/</w:t>
            </w:r>
          </w:p>
        </w:tc>
      </w:tr>
    </w:tbl>
    <w:p>
      <w:pPr>
        <w:ind w:firstLine="560"/>
        <w:jc w:val="center"/>
      </w:pPr>
    </w:p>
    <w:tbl>
      <w:tblPr>
        <w:tblStyle w:val="19"/>
        <w:tblW w:w="8787" w:type="dxa"/>
        <w:jc w:val="center"/>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183"/>
        <w:gridCol w:w="1163"/>
        <w:gridCol w:w="816"/>
        <w:gridCol w:w="1697"/>
        <w:gridCol w:w="1710"/>
        <w:gridCol w:w="1062"/>
        <w:gridCol w:w="1156"/>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Align w:val="center"/>
          </w:tcPr>
          <w:p>
            <w:pPr>
              <w:pStyle w:val="26"/>
            </w:pPr>
            <w:r>
              <w:t>采样点位</w:t>
            </w:r>
          </w:p>
        </w:tc>
        <w:tc>
          <w:tcPr>
            <w:tcW w:w="1163" w:type="dxa"/>
            <w:vAlign w:val="center"/>
          </w:tcPr>
          <w:p>
            <w:pPr>
              <w:pStyle w:val="26"/>
            </w:pPr>
            <w:r>
              <w:t>采样时间</w:t>
            </w:r>
          </w:p>
        </w:tc>
        <w:tc>
          <w:tcPr>
            <w:tcW w:w="2513" w:type="dxa"/>
            <w:gridSpan w:val="2"/>
            <w:vAlign w:val="center"/>
          </w:tcPr>
          <w:p>
            <w:pPr>
              <w:pStyle w:val="26"/>
            </w:pPr>
            <w:r>
              <w:t>样品编号</w:t>
            </w:r>
          </w:p>
        </w:tc>
        <w:tc>
          <w:tcPr>
            <w:tcW w:w="1710" w:type="dxa"/>
            <w:tcBorders>
              <w:right w:val="single" w:color="auto" w:sz="4" w:space="0"/>
            </w:tcBorders>
            <w:vAlign w:val="center"/>
          </w:tcPr>
          <w:p>
            <w:pPr>
              <w:pStyle w:val="26"/>
            </w:pPr>
            <w:r>
              <w:t>检测项目</w:t>
            </w:r>
          </w:p>
        </w:tc>
        <w:tc>
          <w:tcPr>
            <w:tcW w:w="1062" w:type="dxa"/>
            <w:tcBorders>
              <w:left w:val="single" w:color="auto" w:sz="4" w:space="0"/>
              <w:right w:val="single" w:color="auto" w:sz="4" w:space="0"/>
            </w:tcBorders>
            <w:vAlign w:val="center"/>
          </w:tcPr>
          <w:p>
            <w:pPr>
              <w:pStyle w:val="26"/>
            </w:pPr>
            <w:r>
              <w:t>计量单位</w:t>
            </w:r>
          </w:p>
        </w:tc>
        <w:tc>
          <w:tcPr>
            <w:tcW w:w="1156" w:type="dxa"/>
            <w:vAlign w:val="center"/>
          </w:tcPr>
          <w:p>
            <w:pPr>
              <w:pStyle w:val="26"/>
            </w:pPr>
            <w:r>
              <w:t>检测结果</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restart"/>
            <w:vAlign w:val="center"/>
          </w:tcPr>
          <w:p>
            <w:pPr>
              <w:pStyle w:val="26"/>
            </w:pPr>
            <w:r>
              <w:rPr>
                <w:rFonts w:hint="eastAsia"/>
              </w:rPr>
              <w:t>生活废水排污口</w:t>
            </w:r>
          </w:p>
        </w:tc>
        <w:tc>
          <w:tcPr>
            <w:tcW w:w="1163" w:type="dxa"/>
            <w:vMerge w:val="restart"/>
            <w:vAlign w:val="center"/>
          </w:tcPr>
          <w:p>
            <w:pPr>
              <w:pStyle w:val="26"/>
            </w:pPr>
            <w:r>
              <w:rPr>
                <w:rFonts w:hint="eastAsia"/>
              </w:rPr>
              <w:t>2018.05.02</w:t>
            </w:r>
          </w:p>
        </w:tc>
        <w:tc>
          <w:tcPr>
            <w:tcW w:w="816" w:type="dxa"/>
            <w:vMerge w:val="restart"/>
            <w:vAlign w:val="center"/>
          </w:tcPr>
          <w:p>
            <w:pPr>
              <w:pStyle w:val="26"/>
            </w:pPr>
            <w:r>
              <w:rPr>
                <w:rFonts w:hint="eastAsia"/>
              </w:rPr>
              <w:t>第一次</w:t>
            </w:r>
          </w:p>
        </w:tc>
        <w:tc>
          <w:tcPr>
            <w:tcW w:w="1697" w:type="dxa"/>
            <w:vMerge w:val="restart"/>
            <w:vAlign w:val="center"/>
          </w:tcPr>
          <w:p>
            <w:pPr>
              <w:pStyle w:val="26"/>
            </w:pPr>
            <w:r>
              <w:rPr>
                <w:rFonts w:hint="eastAsia"/>
              </w:rPr>
              <w:t>W1800503A8-01</w:t>
            </w:r>
          </w:p>
        </w:tc>
        <w:tc>
          <w:tcPr>
            <w:tcW w:w="1710" w:type="dxa"/>
            <w:tcBorders>
              <w:right w:val="single" w:color="auto" w:sz="4" w:space="0"/>
            </w:tcBorders>
            <w:vAlign w:val="center"/>
          </w:tcPr>
          <w:p>
            <w:pPr>
              <w:pStyle w:val="26"/>
            </w:pPr>
            <w:r>
              <w:rPr>
                <w:rFonts w:hint="eastAsia"/>
              </w:rPr>
              <w:t>pH值</w:t>
            </w:r>
          </w:p>
        </w:tc>
        <w:tc>
          <w:tcPr>
            <w:tcW w:w="1062" w:type="dxa"/>
            <w:tcBorders>
              <w:left w:val="single" w:color="auto" w:sz="4" w:space="0"/>
              <w:right w:val="single" w:color="auto" w:sz="4" w:space="0"/>
            </w:tcBorders>
            <w:vAlign w:val="center"/>
          </w:tcPr>
          <w:p>
            <w:pPr>
              <w:pStyle w:val="26"/>
            </w:pPr>
            <w:r>
              <w:rPr>
                <w:rFonts w:hint="eastAsia"/>
              </w:rPr>
              <w:t>无量纲</w:t>
            </w:r>
          </w:p>
        </w:tc>
        <w:tc>
          <w:tcPr>
            <w:tcW w:w="1156" w:type="dxa"/>
            <w:vAlign w:val="center"/>
          </w:tcPr>
          <w:p>
            <w:pPr>
              <w:pStyle w:val="26"/>
            </w:pPr>
            <w:r>
              <w:rPr>
                <w:rFonts w:hint="eastAsia"/>
              </w:rPr>
              <w:t>7.29</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化学需氧量</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327</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悬浮物</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148</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五日生化需氧量</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113</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氨氮</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19.2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restart"/>
            <w:vAlign w:val="center"/>
          </w:tcPr>
          <w:p>
            <w:pPr>
              <w:pStyle w:val="26"/>
            </w:pPr>
            <w:r>
              <w:rPr>
                <w:rFonts w:hint="eastAsia"/>
              </w:rPr>
              <w:t>第二次</w:t>
            </w:r>
          </w:p>
        </w:tc>
        <w:tc>
          <w:tcPr>
            <w:tcW w:w="1697" w:type="dxa"/>
            <w:vMerge w:val="restart"/>
            <w:vAlign w:val="center"/>
          </w:tcPr>
          <w:p>
            <w:pPr>
              <w:pStyle w:val="26"/>
            </w:pPr>
            <w:r>
              <w:rPr>
                <w:rFonts w:hint="eastAsia"/>
              </w:rPr>
              <w:t>W1800503A8-02</w:t>
            </w:r>
          </w:p>
        </w:tc>
        <w:tc>
          <w:tcPr>
            <w:tcW w:w="1710" w:type="dxa"/>
            <w:tcBorders>
              <w:right w:val="single" w:color="auto" w:sz="4" w:space="0"/>
            </w:tcBorders>
            <w:vAlign w:val="center"/>
          </w:tcPr>
          <w:p>
            <w:pPr>
              <w:pStyle w:val="26"/>
            </w:pPr>
            <w:r>
              <w:rPr>
                <w:rFonts w:hint="eastAsia"/>
              </w:rPr>
              <w:t>pH值</w:t>
            </w:r>
          </w:p>
        </w:tc>
        <w:tc>
          <w:tcPr>
            <w:tcW w:w="1062" w:type="dxa"/>
            <w:tcBorders>
              <w:left w:val="single" w:color="auto" w:sz="4" w:space="0"/>
              <w:right w:val="single" w:color="auto" w:sz="4" w:space="0"/>
            </w:tcBorders>
            <w:vAlign w:val="center"/>
          </w:tcPr>
          <w:p>
            <w:pPr>
              <w:pStyle w:val="26"/>
            </w:pPr>
            <w:r>
              <w:rPr>
                <w:rFonts w:hint="eastAsia"/>
              </w:rPr>
              <w:t>无量纲</w:t>
            </w:r>
          </w:p>
        </w:tc>
        <w:tc>
          <w:tcPr>
            <w:tcW w:w="1156" w:type="dxa"/>
            <w:vAlign w:val="center"/>
          </w:tcPr>
          <w:p>
            <w:pPr>
              <w:pStyle w:val="26"/>
            </w:pPr>
            <w:r>
              <w:rPr>
                <w:rFonts w:hint="eastAsia"/>
              </w:rPr>
              <w:t>7.78</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化学需氧量</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321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悬浮物</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156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五日生化需氧量</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110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氨氮</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18.4</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restart"/>
            <w:vAlign w:val="center"/>
          </w:tcPr>
          <w:p>
            <w:pPr>
              <w:pStyle w:val="26"/>
            </w:pPr>
            <w:r>
              <w:rPr>
                <w:rFonts w:hint="eastAsia"/>
              </w:rPr>
              <w:t>第三次</w:t>
            </w:r>
          </w:p>
        </w:tc>
        <w:tc>
          <w:tcPr>
            <w:tcW w:w="1697" w:type="dxa"/>
            <w:vMerge w:val="restart"/>
            <w:vAlign w:val="center"/>
          </w:tcPr>
          <w:p>
            <w:pPr>
              <w:pStyle w:val="26"/>
            </w:pPr>
            <w:r>
              <w:rPr>
                <w:rFonts w:hint="eastAsia"/>
              </w:rPr>
              <w:t>W1800503A8-03</w:t>
            </w:r>
          </w:p>
        </w:tc>
        <w:tc>
          <w:tcPr>
            <w:tcW w:w="1710" w:type="dxa"/>
            <w:tcBorders>
              <w:right w:val="single" w:color="auto" w:sz="4" w:space="0"/>
            </w:tcBorders>
            <w:vAlign w:val="center"/>
          </w:tcPr>
          <w:p>
            <w:pPr>
              <w:pStyle w:val="26"/>
            </w:pPr>
            <w:r>
              <w:rPr>
                <w:rFonts w:hint="eastAsia"/>
              </w:rPr>
              <w:t>pH值</w:t>
            </w:r>
          </w:p>
        </w:tc>
        <w:tc>
          <w:tcPr>
            <w:tcW w:w="1062" w:type="dxa"/>
            <w:tcBorders>
              <w:left w:val="single" w:color="auto" w:sz="4" w:space="0"/>
              <w:right w:val="single" w:color="auto" w:sz="4" w:space="0"/>
            </w:tcBorders>
            <w:vAlign w:val="center"/>
          </w:tcPr>
          <w:p>
            <w:pPr>
              <w:pStyle w:val="26"/>
            </w:pPr>
            <w:r>
              <w:rPr>
                <w:rFonts w:hint="eastAsia"/>
              </w:rPr>
              <w:t>无量纲</w:t>
            </w:r>
          </w:p>
        </w:tc>
        <w:tc>
          <w:tcPr>
            <w:tcW w:w="1156" w:type="dxa"/>
            <w:vAlign w:val="center"/>
          </w:tcPr>
          <w:p>
            <w:pPr>
              <w:pStyle w:val="26"/>
            </w:pPr>
            <w:r>
              <w:rPr>
                <w:rFonts w:hint="eastAsia"/>
              </w:rPr>
              <w:t>7.46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化学需氧量</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317</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悬浮物</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160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五日生化需氧量</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106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Merge w:val="continue"/>
            <w:vAlign w:val="center"/>
          </w:tcPr>
          <w:p>
            <w:pPr>
              <w:pStyle w:val="26"/>
            </w:pPr>
          </w:p>
        </w:tc>
        <w:tc>
          <w:tcPr>
            <w:tcW w:w="1163" w:type="dxa"/>
            <w:vMerge w:val="continue"/>
            <w:vAlign w:val="center"/>
          </w:tcPr>
          <w:p>
            <w:pPr>
              <w:pStyle w:val="26"/>
            </w:pPr>
          </w:p>
        </w:tc>
        <w:tc>
          <w:tcPr>
            <w:tcW w:w="816" w:type="dxa"/>
            <w:vMerge w:val="continue"/>
            <w:vAlign w:val="center"/>
          </w:tcPr>
          <w:p>
            <w:pPr>
              <w:pStyle w:val="26"/>
            </w:pPr>
          </w:p>
        </w:tc>
        <w:tc>
          <w:tcPr>
            <w:tcW w:w="1697" w:type="dxa"/>
            <w:vMerge w:val="continue"/>
            <w:vAlign w:val="center"/>
          </w:tcPr>
          <w:p>
            <w:pPr>
              <w:pStyle w:val="26"/>
            </w:pPr>
          </w:p>
        </w:tc>
        <w:tc>
          <w:tcPr>
            <w:tcW w:w="1710" w:type="dxa"/>
            <w:tcBorders>
              <w:right w:val="single" w:color="auto" w:sz="4" w:space="0"/>
            </w:tcBorders>
            <w:vAlign w:val="center"/>
          </w:tcPr>
          <w:p>
            <w:pPr>
              <w:pStyle w:val="26"/>
            </w:pPr>
            <w:r>
              <w:rPr>
                <w:rFonts w:hint="eastAsia"/>
              </w:rPr>
              <w:t>氨氮</w:t>
            </w:r>
          </w:p>
        </w:tc>
        <w:tc>
          <w:tcPr>
            <w:tcW w:w="1062" w:type="dxa"/>
            <w:tcBorders>
              <w:left w:val="single" w:color="auto" w:sz="4" w:space="0"/>
              <w:right w:val="single" w:color="auto" w:sz="4" w:space="0"/>
            </w:tcBorders>
            <w:vAlign w:val="center"/>
          </w:tcPr>
          <w:p>
            <w:pPr>
              <w:pStyle w:val="26"/>
            </w:pPr>
            <w:r>
              <w:rPr>
                <w:rFonts w:hint="eastAsia"/>
              </w:rPr>
              <w:t>mg/L</w:t>
            </w:r>
          </w:p>
        </w:tc>
        <w:tc>
          <w:tcPr>
            <w:tcW w:w="1156" w:type="dxa"/>
            <w:vAlign w:val="center"/>
          </w:tcPr>
          <w:p>
            <w:pPr>
              <w:pStyle w:val="26"/>
            </w:pPr>
            <w:r>
              <w:rPr>
                <w:rFonts w:hint="eastAsia"/>
              </w:rPr>
              <w:t>17.7</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Ex>
        <w:trPr>
          <w:trHeight w:val="646" w:hRule="atLeast"/>
          <w:jc w:val="center"/>
        </w:trPr>
        <w:tc>
          <w:tcPr>
            <w:tcW w:w="1183" w:type="dxa"/>
            <w:vAlign w:val="center"/>
          </w:tcPr>
          <w:p>
            <w:pPr>
              <w:pStyle w:val="26"/>
            </w:pPr>
            <w:r>
              <w:rPr>
                <w:rFonts w:hint="eastAsia"/>
              </w:rPr>
              <w:t>备注</w:t>
            </w:r>
          </w:p>
        </w:tc>
        <w:tc>
          <w:tcPr>
            <w:tcW w:w="7604" w:type="dxa"/>
            <w:gridSpan w:val="6"/>
            <w:vAlign w:val="center"/>
          </w:tcPr>
          <w:p>
            <w:pPr>
              <w:pStyle w:val="26"/>
            </w:pPr>
            <w:r>
              <w:rPr>
                <w:rFonts w:hint="eastAsia"/>
              </w:rPr>
              <w:t>/</w:t>
            </w:r>
          </w:p>
        </w:tc>
      </w:tr>
    </w:tbl>
    <w:p>
      <w:pPr>
        <w:pStyle w:val="23"/>
        <w:autoSpaceDE w:val="0"/>
        <w:autoSpaceDN w:val="0"/>
        <w:ind w:firstLine="560"/>
        <w:rPr>
          <w:rFonts w:ascii="宋体" w:hAnsi="宋体" w:cs="宋体"/>
          <w:sz w:val="28"/>
          <w:szCs w:val="28"/>
        </w:rPr>
      </w:pPr>
      <w:r>
        <w:rPr>
          <w:rFonts w:ascii="Times New Roman" w:hAnsi="Times New Roman" w:cs="Times New Roman"/>
          <w:sz w:val="28"/>
          <w:szCs w:val="28"/>
        </w:rPr>
        <w:t>验收期间</w:t>
      </w:r>
      <w:r>
        <w:rPr>
          <w:rFonts w:hint="eastAsia" w:ascii="宋体" w:hAnsi="宋体" w:cs="宋体"/>
          <w:sz w:val="28"/>
          <w:szCs w:val="28"/>
        </w:rPr>
        <w:t>，厂区总排口pH范围为7.28~7.78，化学需氧量浓度范围为317mg/L~338/mg/L，五日生化需氧量BOD</w:t>
      </w:r>
      <w:r>
        <w:rPr>
          <w:rFonts w:hint="eastAsia" w:ascii="宋体" w:hAnsi="宋体" w:cs="宋体"/>
          <w:sz w:val="28"/>
          <w:szCs w:val="28"/>
          <w:vertAlign w:val="subscript"/>
        </w:rPr>
        <w:t>5</w:t>
      </w:r>
      <w:r>
        <w:rPr>
          <w:rFonts w:hint="eastAsia" w:ascii="宋体" w:hAnsi="宋体" w:cs="宋体"/>
          <w:sz w:val="28"/>
          <w:szCs w:val="28"/>
        </w:rPr>
        <w:t>浓度范围为106mg/L~115mg/L，氨氮浓度范围为17.7mg/L~20.3mg/L，悬浮物浓度范围为142mg/L~165mg/L，满足《污水排入城镇下水道水质标准》（GBT31962-2015）B等级标准及昌城镇污水处理厂进水水质标准。</w:t>
      </w:r>
    </w:p>
    <w:p>
      <w:pPr>
        <w:pStyle w:val="8"/>
        <w:numPr>
          <w:ilvl w:val="3"/>
          <w:numId w:val="0"/>
        </w:numPr>
        <w:rPr>
          <w:rFonts w:ascii="宋体" w:hAnsi="宋体" w:cs="宋体"/>
          <w:b w:val="0"/>
          <w:bCs/>
          <w:sz w:val="28"/>
          <w:szCs w:val="28"/>
        </w:rPr>
      </w:pPr>
      <w:bookmarkStart w:id="189" w:name="_Toc25066_WPSOffice_Level1"/>
      <w:bookmarkStart w:id="190" w:name="_Toc26557_WPSOffice_Level3"/>
      <w:bookmarkStart w:id="191" w:name="_Toc13639_WPSOffice_Level1"/>
      <w:r>
        <w:rPr>
          <w:rFonts w:hint="eastAsia" w:ascii="宋体" w:hAnsi="宋体" w:cs="宋体"/>
          <w:b w:val="0"/>
          <w:bCs/>
          <w:sz w:val="28"/>
          <w:szCs w:val="28"/>
        </w:rPr>
        <w:t>（2）厂界噪声</w:t>
      </w:r>
      <w:bookmarkEnd w:id="189"/>
      <w:bookmarkEnd w:id="190"/>
      <w:bookmarkEnd w:id="191"/>
    </w:p>
    <w:tbl>
      <w:tblPr>
        <w:tblStyle w:val="19"/>
        <w:tblW w:w="9180" w:type="dxa"/>
        <w:tblInd w:w="0" w:type="dxa"/>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
      <w:tblGrid>
        <w:gridCol w:w="1437"/>
        <w:gridCol w:w="1440"/>
        <w:gridCol w:w="1746"/>
        <w:gridCol w:w="2283"/>
        <w:gridCol w:w="2274"/>
      </w:tblGrid>
      <w:tr>
        <w:tblPrEx>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496" w:hRule="exact"/>
        </w:trPr>
        <w:tc>
          <w:tcPr>
            <w:tcW w:w="1437" w:type="dxa"/>
            <w:vMerge w:val="restart"/>
            <w:tcBorders>
              <w:tl2br w:val="nil"/>
              <w:tr2bl w:val="nil"/>
            </w:tcBorders>
            <w:vAlign w:val="center"/>
          </w:tcPr>
          <w:p>
            <w:pPr>
              <w:spacing w:line="520" w:lineRule="exact"/>
              <w:ind w:firstLine="0" w:firstLineChars="0"/>
              <w:jc w:val="both"/>
              <w:rPr>
                <w:rFonts w:ascii="Times New Roman" w:hAnsi="Times New Roman" w:cs="Times New Roman"/>
                <w:sz w:val="21"/>
                <w:szCs w:val="21"/>
              </w:rPr>
            </w:pPr>
            <w:r>
              <w:rPr>
                <w:rFonts w:ascii="Times New Roman" w:hAnsi="Times New Roman" w:cs="Times New Roman"/>
                <w:sz w:val="21"/>
                <w:szCs w:val="21"/>
              </w:rPr>
              <w:t>检测日期</w:t>
            </w:r>
          </w:p>
        </w:tc>
        <w:tc>
          <w:tcPr>
            <w:tcW w:w="1440" w:type="dxa"/>
            <w:vMerge w:val="restart"/>
            <w:tcBorders>
              <w:tl2br w:val="nil"/>
              <w:tr2bl w:val="nil"/>
            </w:tcBorders>
            <w:vAlign w:val="center"/>
          </w:tcPr>
          <w:p>
            <w:pPr>
              <w:spacing w:line="520" w:lineRule="exact"/>
              <w:ind w:firstLine="0" w:firstLineChars="0"/>
              <w:jc w:val="both"/>
              <w:rPr>
                <w:rFonts w:ascii="Times New Roman" w:hAnsi="Times New Roman" w:cs="Times New Roman"/>
                <w:sz w:val="21"/>
                <w:szCs w:val="21"/>
              </w:rPr>
            </w:pPr>
            <w:r>
              <w:rPr>
                <w:rFonts w:ascii="Times New Roman" w:hAnsi="Times New Roman" w:cs="Times New Roman"/>
                <w:sz w:val="21"/>
                <w:szCs w:val="21"/>
              </w:rPr>
              <w:t>测点编号</w:t>
            </w:r>
          </w:p>
        </w:tc>
        <w:tc>
          <w:tcPr>
            <w:tcW w:w="1746" w:type="dxa"/>
            <w:vMerge w:val="restart"/>
            <w:tcBorders>
              <w:tl2br w:val="nil"/>
              <w:tr2bl w:val="nil"/>
            </w:tcBorders>
            <w:vAlign w:val="center"/>
          </w:tcPr>
          <w:p>
            <w:pPr>
              <w:spacing w:line="520" w:lineRule="exact"/>
              <w:ind w:firstLine="420"/>
              <w:jc w:val="center"/>
              <w:rPr>
                <w:rFonts w:ascii="Times New Roman" w:hAnsi="Times New Roman" w:cs="Times New Roman"/>
                <w:sz w:val="21"/>
                <w:szCs w:val="21"/>
              </w:rPr>
            </w:pPr>
            <w:r>
              <w:rPr>
                <w:rFonts w:ascii="Times New Roman" w:hAnsi="Times New Roman" w:cs="Times New Roman"/>
                <w:sz w:val="21"/>
                <w:szCs w:val="21"/>
              </w:rPr>
              <w:t>点位名称</w:t>
            </w:r>
          </w:p>
        </w:tc>
        <w:tc>
          <w:tcPr>
            <w:tcW w:w="4557" w:type="dxa"/>
            <w:gridSpan w:val="2"/>
            <w:tcBorders>
              <w:tl2br w:val="nil"/>
              <w:tr2bl w:val="nil"/>
            </w:tcBorders>
            <w:vAlign w:val="center"/>
          </w:tcPr>
          <w:p>
            <w:pPr>
              <w:spacing w:line="520" w:lineRule="exact"/>
              <w:ind w:firstLine="420"/>
              <w:jc w:val="center"/>
              <w:rPr>
                <w:rFonts w:ascii="Times New Roman" w:hAnsi="Times New Roman" w:cs="Times New Roman"/>
                <w:sz w:val="21"/>
                <w:szCs w:val="21"/>
              </w:rPr>
            </w:pPr>
            <w:r>
              <w:rPr>
                <w:rFonts w:ascii="Times New Roman" w:hAnsi="Times New Roman" w:cs="Times New Roman"/>
                <w:sz w:val="21"/>
                <w:szCs w:val="21"/>
              </w:rPr>
              <w:t>检测结果Leq dB（A）</w:t>
            </w:r>
          </w:p>
        </w:tc>
      </w:tr>
      <w:tr>
        <w:tblPrEx>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583" w:hRule="exact"/>
        </w:trPr>
        <w:tc>
          <w:tcPr>
            <w:tcW w:w="1437" w:type="dxa"/>
            <w:vMerge w:val="continue"/>
            <w:tcBorders>
              <w:tl2br w:val="nil"/>
              <w:tr2bl w:val="nil"/>
            </w:tcBorders>
            <w:vAlign w:val="center"/>
          </w:tcPr>
          <w:p>
            <w:pPr>
              <w:spacing w:line="520" w:lineRule="exact"/>
              <w:ind w:firstLine="420"/>
              <w:jc w:val="center"/>
              <w:rPr>
                <w:rFonts w:ascii="Times New Roman" w:hAnsi="Times New Roman" w:cs="Times New Roman"/>
                <w:sz w:val="21"/>
                <w:szCs w:val="21"/>
              </w:rPr>
            </w:pPr>
          </w:p>
        </w:tc>
        <w:tc>
          <w:tcPr>
            <w:tcW w:w="1440" w:type="dxa"/>
            <w:vMerge w:val="continue"/>
            <w:tcBorders>
              <w:tl2br w:val="nil"/>
              <w:tr2bl w:val="nil"/>
            </w:tcBorders>
            <w:vAlign w:val="center"/>
          </w:tcPr>
          <w:p>
            <w:pPr>
              <w:spacing w:line="520" w:lineRule="exact"/>
              <w:ind w:firstLine="420"/>
              <w:jc w:val="center"/>
              <w:rPr>
                <w:rFonts w:ascii="Times New Roman" w:hAnsi="Times New Roman" w:cs="Times New Roman"/>
                <w:sz w:val="21"/>
                <w:szCs w:val="21"/>
              </w:rPr>
            </w:pPr>
          </w:p>
        </w:tc>
        <w:tc>
          <w:tcPr>
            <w:tcW w:w="1746" w:type="dxa"/>
            <w:vMerge w:val="continue"/>
            <w:tcBorders>
              <w:tl2br w:val="nil"/>
              <w:tr2bl w:val="nil"/>
            </w:tcBorders>
            <w:vAlign w:val="center"/>
          </w:tcPr>
          <w:p>
            <w:pPr>
              <w:spacing w:line="520" w:lineRule="exact"/>
              <w:ind w:firstLine="420"/>
              <w:jc w:val="center"/>
              <w:rPr>
                <w:rFonts w:ascii="Times New Roman" w:hAnsi="Times New Roman" w:cs="Times New Roman"/>
                <w:sz w:val="21"/>
                <w:szCs w:val="21"/>
              </w:rPr>
            </w:pPr>
          </w:p>
        </w:tc>
        <w:tc>
          <w:tcPr>
            <w:tcW w:w="2283" w:type="dxa"/>
            <w:tcBorders>
              <w:tl2br w:val="nil"/>
              <w:tr2bl w:val="nil"/>
            </w:tcBorders>
            <w:vAlign w:val="center"/>
          </w:tcPr>
          <w:p>
            <w:pPr>
              <w:spacing w:line="520" w:lineRule="exact"/>
              <w:ind w:firstLine="420"/>
              <w:jc w:val="center"/>
              <w:rPr>
                <w:rFonts w:ascii="Times New Roman" w:hAnsi="Times New Roman" w:cs="Times New Roman"/>
                <w:sz w:val="21"/>
                <w:szCs w:val="21"/>
              </w:rPr>
            </w:pPr>
            <w:r>
              <w:rPr>
                <w:rFonts w:ascii="Times New Roman" w:hAnsi="Times New Roman" w:cs="Times New Roman"/>
                <w:sz w:val="21"/>
                <w:szCs w:val="21"/>
              </w:rPr>
              <w:t>昼间</w:t>
            </w:r>
          </w:p>
        </w:tc>
        <w:tc>
          <w:tcPr>
            <w:tcW w:w="2274" w:type="dxa"/>
            <w:tcBorders>
              <w:tl2br w:val="nil"/>
              <w:tr2bl w:val="nil"/>
            </w:tcBorders>
            <w:vAlign w:val="center"/>
          </w:tcPr>
          <w:p>
            <w:pPr>
              <w:spacing w:line="520" w:lineRule="exact"/>
              <w:ind w:firstLine="420"/>
              <w:jc w:val="center"/>
              <w:rPr>
                <w:rFonts w:ascii="Times New Roman" w:hAnsi="Times New Roman" w:cs="Times New Roman"/>
                <w:sz w:val="21"/>
                <w:szCs w:val="21"/>
              </w:rPr>
            </w:pPr>
            <w:r>
              <w:rPr>
                <w:rFonts w:ascii="Times New Roman" w:hAnsi="Times New Roman" w:cs="Times New Roman"/>
                <w:sz w:val="21"/>
                <w:szCs w:val="21"/>
              </w:rPr>
              <w:t>夜间</w:t>
            </w:r>
          </w:p>
        </w:tc>
      </w:tr>
      <w:tr>
        <w:tblPrEx>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422" w:hRule="exact"/>
        </w:trPr>
        <w:tc>
          <w:tcPr>
            <w:tcW w:w="1437" w:type="dxa"/>
            <w:vMerge w:val="restart"/>
            <w:tcBorders>
              <w:tl2br w:val="nil"/>
              <w:tr2bl w:val="nil"/>
            </w:tcBorders>
            <w:vAlign w:val="center"/>
          </w:tcPr>
          <w:p>
            <w:pPr>
              <w:spacing w:line="360" w:lineRule="exact"/>
              <w:ind w:firstLine="0" w:firstLineChars="0"/>
              <w:jc w:val="both"/>
              <w:rPr>
                <w:rFonts w:ascii="Times New Roman" w:hAnsi="Times New Roman" w:cs="Times New Roman"/>
                <w:sz w:val="21"/>
                <w:szCs w:val="21"/>
              </w:rPr>
            </w:pPr>
            <w:r>
              <w:rPr>
                <w:rFonts w:ascii="Times New Roman" w:hAnsi="Times New Roman" w:cs="Times New Roman"/>
                <w:sz w:val="21"/>
                <w:szCs w:val="21"/>
              </w:rPr>
              <w:t>2018.0</w:t>
            </w:r>
            <w:r>
              <w:rPr>
                <w:rFonts w:hint="eastAsia" w:ascii="Times New Roman" w:hAnsi="Times New Roman" w:cs="Times New Roman"/>
                <w:sz w:val="21"/>
                <w:szCs w:val="21"/>
              </w:rPr>
              <w:t>5.01</w:t>
            </w:r>
          </w:p>
        </w:tc>
        <w:tc>
          <w:tcPr>
            <w:tcW w:w="1440" w:type="dxa"/>
            <w:tcBorders>
              <w:tl2br w:val="nil"/>
              <w:tr2bl w:val="nil"/>
            </w:tcBorders>
            <w:vAlign w:val="center"/>
          </w:tcPr>
          <w:p>
            <w:pPr>
              <w:spacing w:line="240" w:lineRule="auto"/>
              <w:ind w:firstLine="420"/>
              <w:jc w:val="center"/>
              <w:rPr>
                <w:rFonts w:ascii="Times New Roman" w:hAnsi="Times New Roman" w:cs="Times New Roman"/>
                <w:sz w:val="21"/>
                <w:szCs w:val="21"/>
              </w:rPr>
            </w:pPr>
            <w:r>
              <w:rPr>
                <w:rFonts w:ascii="Times New Roman" w:hAnsi="Times New Roman" w:cs="Times New Roman"/>
                <w:sz w:val="21"/>
                <w:szCs w:val="21"/>
              </w:rPr>
              <w:t>1#</w:t>
            </w:r>
          </w:p>
        </w:tc>
        <w:tc>
          <w:tcPr>
            <w:tcW w:w="1746" w:type="dxa"/>
            <w:tcBorders>
              <w:tl2br w:val="nil"/>
              <w:tr2bl w:val="nil"/>
            </w:tcBorders>
            <w:vAlign w:val="center"/>
          </w:tcPr>
          <w:p>
            <w:pPr>
              <w:ind w:firstLine="420"/>
              <w:jc w:val="center"/>
              <w:rPr>
                <w:rFonts w:ascii="Times New Roman" w:hAnsi="Times New Roman" w:cs="Times New Roman"/>
                <w:sz w:val="21"/>
                <w:szCs w:val="21"/>
              </w:rPr>
            </w:pPr>
            <w:r>
              <w:rPr>
                <w:rFonts w:hint="eastAsia" w:ascii="Times New Roman" w:hAnsi="Times New Roman" w:cs="Times New Roman"/>
                <w:sz w:val="21"/>
                <w:szCs w:val="21"/>
              </w:rPr>
              <w:t>东</w:t>
            </w:r>
            <w:r>
              <w:rPr>
                <w:rFonts w:ascii="Times New Roman" w:hAnsi="Times New Roman" w:cs="Times New Roman"/>
                <w:sz w:val="21"/>
                <w:szCs w:val="21"/>
              </w:rPr>
              <w:t>厂界外1m处</w:t>
            </w:r>
          </w:p>
        </w:tc>
        <w:tc>
          <w:tcPr>
            <w:tcW w:w="2283" w:type="dxa"/>
            <w:tcBorders>
              <w:tl2br w:val="nil"/>
              <w:tr2bl w:val="nil"/>
            </w:tcBorders>
            <w:vAlign w:val="center"/>
          </w:tcPr>
          <w:p>
            <w:pPr>
              <w:widowControl/>
              <w:ind w:firstLine="420"/>
              <w:jc w:val="center"/>
              <w:textAlignment w:val="center"/>
              <w:rPr>
                <w:rFonts w:ascii="Times New Roman" w:hAnsi="Times New Roman" w:cs="Times New Roman"/>
                <w:sz w:val="21"/>
                <w:szCs w:val="21"/>
                <w:highlight w:val="yellow"/>
              </w:rPr>
            </w:pPr>
            <w:r>
              <w:rPr>
                <w:rFonts w:hint="eastAsia" w:ascii="Times New Roman" w:hAnsi="Times New Roman" w:cs="Times New Roman"/>
                <w:sz w:val="21"/>
                <w:szCs w:val="21"/>
              </w:rPr>
              <w:t>54.3</w:t>
            </w:r>
          </w:p>
        </w:tc>
        <w:tc>
          <w:tcPr>
            <w:tcW w:w="2274" w:type="dxa"/>
            <w:tcBorders>
              <w:tl2br w:val="nil"/>
              <w:tr2bl w:val="nil"/>
            </w:tcBorders>
            <w:vAlign w:val="center"/>
          </w:tcPr>
          <w:p>
            <w:pPr>
              <w:widowControl/>
              <w:ind w:firstLine="420"/>
              <w:jc w:val="center"/>
              <w:textAlignment w:val="center"/>
              <w:rPr>
                <w:rFonts w:ascii="Times New Roman" w:hAnsi="Times New Roman" w:cs="Times New Roman"/>
                <w:sz w:val="21"/>
                <w:szCs w:val="21"/>
                <w:highlight w:val="yellow"/>
              </w:rPr>
            </w:pPr>
            <w:r>
              <w:rPr>
                <w:rFonts w:hint="eastAsia" w:ascii="Times New Roman" w:hAnsi="Times New Roman" w:cs="Times New Roman"/>
                <w:sz w:val="21"/>
                <w:szCs w:val="21"/>
              </w:rPr>
              <w:t>44.8</w:t>
            </w:r>
          </w:p>
        </w:tc>
      </w:tr>
      <w:tr>
        <w:tblPrEx>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422" w:hRule="exact"/>
        </w:trPr>
        <w:tc>
          <w:tcPr>
            <w:tcW w:w="1437" w:type="dxa"/>
            <w:vMerge w:val="continue"/>
            <w:tcBorders>
              <w:tl2br w:val="nil"/>
              <w:tr2bl w:val="nil"/>
            </w:tcBorders>
            <w:vAlign w:val="center"/>
          </w:tcPr>
          <w:p>
            <w:pPr>
              <w:spacing w:line="360" w:lineRule="exact"/>
              <w:ind w:firstLine="420"/>
              <w:jc w:val="center"/>
              <w:rPr>
                <w:rFonts w:ascii="Times New Roman" w:hAnsi="Times New Roman" w:cs="Times New Roman"/>
                <w:sz w:val="21"/>
                <w:szCs w:val="21"/>
              </w:rPr>
            </w:pPr>
          </w:p>
        </w:tc>
        <w:tc>
          <w:tcPr>
            <w:tcW w:w="1440" w:type="dxa"/>
            <w:tcBorders>
              <w:tl2br w:val="nil"/>
              <w:tr2bl w:val="nil"/>
            </w:tcBorders>
            <w:vAlign w:val="center"/>
          </w:tcPr>
          <w:p>
            <w:pPr>
              <w:spacing w:line="240" w:lineRule="auto"/>
              <w:ind w:firstLine="420"/>
              <w:jc w:val="center"/>
              <w:rPr>
                <w:rFonts w:ascii="Times New Roman" w:hAnsi="Times New Roman" w:cs="Times New Roman"/>
                <w:sz w:val="21"/>
                <w:szCs w:val="21"/>
              </w:rPr>
            </w:pPr>
            <w:r>
              <w:rPr>
                <w:rFonts w:ascii="Times New Roman" w:hAnsi="Times New Roman" w:cs="Times New Roman"/>
                <w:sz w:val="21"/>
                <w:szCs w:val="21"/>
              </w:rPr>
              <w:t>2#</w:t>
            </w:r>
          </w:p>
        </w:tc>
        <w:tc>
          <w:tcPr>
            <w:tcW w:w="1746" w:type="dxa"/>
            <w:tcBorders>
              <w:tl2br w:val="nil"/>
              <w:tr2bl w:val="nil"/>
            </w:tcBorders>
            <w:vAlign w:val="center"/>
          </w:tcPr>
          <w:p>
            <w:pPr>
              <w:spacing w:line="360" w:lineRule="exact"/>
              <w:ind w:firstLine="420"/>
              <w:jc w:val="center"/>
              <w:rPr>
                <w:rFonts w:ascii="Times New Roman" w:hAnsi="Times New Roman" w:cs="Times New Roman"/>
                <w:sz w:val="21"/>
                <w:szCs w:val="21"/>
              </w:rPr>
            </w:pPr>
            <w:r>
              <w:rPr>
                <w:rFonts w:hint="eastAsia" w:ascii="Times New Roman" w:hAnsi="Times New Roman" w:cs="Times New Roman"/>
                <w:sz w:val="21"/>
                <w:szCs w:val="21"/>
              </w:rPr>
              <w:t>南</w:t>
            </w:r>
            <w:r>
              <w:rPr>
                <w:rFonts w:ascii="Times New Roman" w:hAnsi="Times New Roman" w:cs="Times New Roman"/>
                <w:sz w:val="21"/>
                <w:szCs w:val="21"/>
              </w:rPr>
              <w:t>厂界外1m处</w:t>
            </w:r>
          </w:p>
        </w:tc>
        <w:tc>
          <w:tcPr>
            <w:tcW w:w="2283" w:type="dxa"/>
            <w:tcBorders>
              <w:tl2br w:val="nil"/>
              <w:tr2bl w:val="nil"/>
            </w:tcBorders>
            <w:vAlign w:val="center"/>
          </w:tcPr>
          <w:p>
            <w:pPr>
              <w:widowControl/>
              <w:ind w:firstLine="420"/>
              <w:jc w:val="center"/>
              <w:textAlignment w:val="center"/>
              <w:rPr>
                <w:rFonts w:ascii="Times New Roman" w:hAnsi="Times New Roman" w:cs="Times New Roman"/>
                <w:sz w:val="21"/>
                <w:szCs w:val="21"/>
                <w:highlight w:val="yellow"/>
              </w:rPr>
            </w:pPr>
            <w:r>
              <w:rPr>
                <w:rFonts w:hint="eastAsia" w:ascii="Times New Roman" w:hAnsi="Times New Roman" w:cs="Times New Roman"/>
                <w:sz w:val="21"/>
                <w:szCs w:val="21"/>
              </w:rPr>
              <w:t>54.7</w:t>
            </w:r>
          </w:p>
        </w:tc>
        <w:tc>
          <w:tcPr>
            <w:tcW w:w="2274" w:type="dxa"/>
            <w:tcBorders>
              <w:tl2br w:val="nil"/>
              <w:tr2bl w:val="nil"/>
            </w:tcBorders>
            <w:vAlign w:val="center"/>
          </w:tcPr>
          <w:p>
            <w:pPr>
              <w:widowControl/>
              <w:ind w:firstLine="420"/>
              <w:jc w:val="center"/>
              <w:textAlignment w:val="center"/>
              <w:rPr>
                <w:rFonts w:ascii="Times New Roman" w:hAnsi="Times New Roman" w:cs="Times New Roman"/>
                <w:sz w:val="21"/>
                <w:szCs w:val="21"/>
                <w:highlight w:val="yellow"/>
              </w:rPr>
            </w:pPr>
            <w:r>
              <w:rPr>
                <w:rFonts w:ascii="Times New Roman" w:hAnsi="Times New Roman" w:cs="Times New Roman"/>
                <w:sz w:val="21"/>
                <w:szCs w:val="21"/>
              </w:rPr>
              <w:t>4</w:t>
            </w:r>
            <w:r>
              <w:rPr>
                <w:rFonts w:hint="eastAsia" w:ascii="Times New Roman" w:hAnsi="Times New Roman" w:cs="Times New Roman"/>
                <w:sz w:val="21"/>
                <w:szCs w:val="21"/>
              </w:rPr>
              <w:t>5.4</w:t>
            </w:r>
          </w:p>
        </w:tc>
      </w:tr>
      <w:tr>
        <w:tblPrEx>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422" w:hRule="exact"/>
        </w:trPr>
        <w:tc>
          <w:tcPr>
            <w:tcW w:w="1437" w:type="dxa"/>
            <w:vMerge w:val="continue"/>
            <w:tcBorders>
              <w:tl2br w:val="nil"/>
              <w:tr2bl w:val="nil"/>
            </w:tcBorders>
            <w:vAlign w:val="center"/>
          </w:tcPr>
          <w:p>
            <w:pPr>
              <w:spacing w:line="360" w:lineRule="exact"/>
              <w:ind w:firstLine="420"/>
              <w:jc w:val="center"/>
              <w:rPr>
                <w:rFonts w:ascii="Times New Roman" w:hAnsi="Times New Roman" w:cs="Times New Roman"/>
                <w:sz w:val="21"/>
                <w:szCs w:val="21"/>
              </w:rPr>
            </w:pPr>
          </w:p>
        </w:tc>
        <w:tc>
          <w:tcPr>
            <w:tcW w:w="1440" w:type="dxa"/>
            <w:tcBorders>
              <w:tl2br w:val="nil"/>
              <w:tr2bl w:val="nil"/>
            </w:tcBorders>
            <w:vAlign w:val="center"/>
          </w:tcPr>
          <w:p>
            <w:pPr>
              <w:spacing w:line="240" w:lineRule="auto"/>
              <w:ind w:firstLine="420"/>
              <w:jc w:val="center"/>
              <w:rPr>
                <w:rFonts w:ascii="Times New Roman" w:hAnsi="Times New Roman" w:cs="Times New Roman"/>
                <w:sz w:val="21"/>
                <w:szCs w:val="21"/>
              </w:rPr>
            </w:pPr>
            <w:r>
              <w:rPr>
                <w:rFonts w:ascii="Times New Roman" w:hAnsi="Times New Roman" w:cs="Times New Roman"/>
                <w:sz w:val="21"/>
                <w:szCs w:val="21"/>
              </w:rPr>
              <w:t>3#</w:t>
            </w:r>
          </w:p>
        </w:tc>
        <w:tc>
          <w:tcPr>
            <w:tcW w:w="1746" w:type="dxa"/>
            <w:tcBorders>
              <w:tl2br w:val="nil"/>
              <w:tr2bl w:val="nil"/>
            </w:tcBorders>
            <w:vAlign w:val="center"/>
          </w:tcPr>
          <w:p>
            <w:pPr>
              <w:spacing w:line="360" w:lineRule="exact"/>
              <w:ind w:firstLine="420"/>
              <w:jc w:val="center"/>
              <w:rPr>
                <w:rFonts w:ascii="Times New Roman" w:hAnsi="Times New Roman" w:cs="Times New Roman"/>
                <w:sz w:val="21"/>
                <w:szCs w:val="21"/>
              </w:rPr>
            </w:pPr>
            <w:r>
              <w:rPr>
                <w:rFonts w:ascii="Times New Roman" w:hAnsi="Times New Roman" w:cs="Times New Roman"/>
                <w:sz w:val="21"/>
                <w:szCs w:val="21"/>
              </w:rPr>
              <w:t>西厂界外1m处</w:t>
            </w:r>
          </w:p>
        </w:tc>
        <w:tc>
          <w:tcPr>
            <w:tcW w:w="2283" w:type="dxa"/>
            <w:tcBorders>
              <w:tl2br w:val="nil"/>
              <w:tr2bl w:val="nil"/>
            </w:tcBorders>
            <w:vAlign w:val="center"/>
          </w:tcPr>
          <w:p>
            <w:pPr>
              <w:widowControl/>
              <w:ind w:firstLine="420"/>
              <w:jc w:val="center"/>
              <w:textAlignment w:val="center"/>
              <w:rPr>
                <w:rFonts w:ascii="Times New Roman" w:hAnsi="Times New Roman" w:cs="Times New Roman"/>
                <w:sz w:val="21"/>
                <w:szCs w:val="21"/>
                <w:highlight w:val="yellow"/>
              </w:rPr>
            </w:pPr>
            <w:r>
              <w:rPr>
                <w:rFonts w:hint="eastAsia" w:ascii="Times New Roman" w:hAnsi="Times New Roman" w:cs="Times New Roman"/>
                <w:sz w:val="21"/>
                <w:szCs w:val="21"/>
              </w:rPr>
              <w:t>55.2</w:t>
            </w:r>
          </w:p>
        </w:tc>
        <w:tc>
          <w:tcPr>
            <w:tcW w:w="2274" w:type="dxa"/>
            <w:tcBorders>
              <w:tl2br w:val="nil"/>
              <w:tr2bl w:val="nil"/>
            </w:tcBorders>
            <w:vAlign w:val="center"/>
          </w:tcPr>
          <w:p>
            <w:pPr>
              <w:widowControl/>
              <w:ind w:firstLine="420"/>
              <w:jc w:val="center"/>
              <w:textAlignment w:val="center"/>
              <w:rPr>
                <w:rFonts w:ascii="Times New Roman" w:hAnsi="Times New Roman" w:cs="Times New Roman"/>
                <w:sz w:val="21"/>
                <w:szCs w:val="21"/>
                <w:highlight w:val="yellow"/>
              </w:rPr>
            </w:pPr>
            <w:r>
              <w:rPr>
                <w:rFonts w:hint="eastAsia" w:ascii="Times New Roman" w:hAnsi="Times New Roman" w:cs="Times New Roman"/>
                <w:sz w:val="21"/>
                <w:szCs w:val="21"/>
              </w:rPr>
              <w:t>46.7</w:t>
            </w:r>
          </w:p>
        </w:tc>
      </w:tr>
      <w:tr>
        <w:tblPrEx>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422" w:hRule="exact"/>
        </w:trPr>
        <w:tc>
          <w:tcPr>
            <w:tcW w:w="1437" w:type="dxa"/>
            <w:vMerge w:val="continue"/>
            <w:tcBorders>
              <w:tl2br w:val="nil"/>
              <w:tr2bl w:val="nil"/>
            </w:tcBorders>
            <w:vAlign w:val="center"/>
          </w:tcPr>
          <w:p>
            <w:pPr>
              <w:spacing w:line="360" w:lineRule="exact"/>
              <w:ind w:firstLine="420"/>
              <w:jc w:val="center"/>
              <w:rPr>
                <w:rFonts w:ascii="Times New Roman" w:hAnsi="Times New Roman" w:cs="Times New Roman"/>
                <w:sz w:val="21"/>
                <w:szCs w:val="21"/>
              </w:rPr>
            </w:pPr>
          </w:p>
        </w:tc>
        <w:tc>
          <w:tcPr>
            <w:tcW w:w="1440" w:type="dxa"/>
            <w:tcBorders>
              <w:tl2br w:val="nil"/>
              <w:tr2bl w:val="nil"/>
            </w:tcBorders>
            <w:vAlign w:val="center"/>
          </w:tcPr>
          <w:p>
            <w:pPr>
              <w:spacing w:line="240" w:lineRule="auto"/>
              <w:ind w:firstLine="420"/>
              <w:jc w:val="center"/>
              <w:rPr>
                <w:rFonts w:ascii="Times New Roman" w:hAnsi="Times New Roman" w:cs="Times New Roman"/>
                <w:sz w:val="21"/>
                <w:szCs w:val="21"/>
              </w:rPr>
            </w:pPr>
            <w:r>
              <w:rPr>
                <w:rFonts w:ascii="Times New Roman" w:hAnsi="Times New Roman" w:cs="Times New Roman"/>
                <w:sz w:val="21"/>
                <w:szCs w:val="21"/>
              </w:rPr>
              <w:t>4#</w:t>
            </w:r>
          </w:p>
        </w:tc>
        <w:tc>
          <w:tcPr>
            <w:tcW w:w="1746" w:type="dxa"/>
            <w:tcBorders>
              <w:tl2br w:val="nil"/>
              <w:tr2bl w:val="nil"/>
            </w:tcBorders>
            <w:vAlign w:val="center"/>
          </w:tcPr>
          <w:p>
            <w:pPr>
              <w:spacing w:line="360" w:lineRule="exact"/>
              <w:ind w:firstLine="420"/>
              <w:jc w:val="center"/>
              <w:rPr>
                <w:rFonts w:ascii="Times New Roman" w:hAnsi="Times New Roman" w:cs="Times New Roman"/>
                <w:sz w:val="21"/>
                <w:szCs w:val="21"/>
              </w:rPr>
            </w:pPr>
            <w:r>
              <w:rPr>
                <w:rFonts w:ascii="Times New Roman" w:hAnsi="Times New Roman" w:cs="Times New Roman"/>
                <w:sz w:val="21"/>
                <w:szCs w:val="21"/>
              </w:rPr>
              <w:t>北厂界外1m处</w:t>
            </w:r>
          </w:p>
        </w:tc>
        <w:tc>
          <w:tcPr>
            <w:tcW w:w="2283" w:type="dxa"/>
            <w:tcBorders>
              <w:tl2br w:val="nil"/>
              <w:tr2bl w:val="nil"/>
            </w:tcBorders>
            <w:vAlign w:val="center"/>
          </w:tcPr>
          <w:p>
            <w:pPr>
              <w:widowControl/>
              <w:ind w:firstLine="420"/>
              <w:jc w:val="center"/>
              <w:textAlignment w:val="center"/>
              <w:rPr>
                <w:rFonts w:ascii="Times New Roman" w:hAnsi="Times New Roman" w:cs="Times New Roman"/>
                <w:sz w:val="21"/>
                <w:szCs w:val="21"/>
                <w:highlight w:val="yellow"/>
              </w:rPr>
            </w:pPr>
            <w:r>
              <w:rPr>
                <w:rFonts w:hint="eastAsia" w:ascii="Times New Roman" w:hAnsi="Times New Roman" w:cs="Times New Roman"/>
                <w:sz w:val="21"/>
                <w:szCs w:val="21"/>
              </w:rPr>
              <w:t>53.8</w:t>
            </w:r>
          </w:p>
        </w:tc>
        <w:tc>
          <w:tcPr>
            <w:tcW w:w="2274" w:type="dxa"/>
            <w:tcBorders>
              <w:tl2br w:val="nil"/>
              <w:tr2bl w:val="nil"/>
            </w:tcBorders>
            <w:vAlign w:val="center"/>
          </w:tcPr>
          <w:p>
            <w:pPr>
              <w:widowControl/>
              <w:ind w:firstLine="420"/>
              <w:jc w:val="center"/>
              <w:textAlignment w:val="center"/>
              <w:rPr>
                <w:rFonts w:ascii="Times New Roman" w:hAnsi="Times New Roman" w:cs="Times New Roman"/>
                <w:sz w:val="21"/>
                <w:szCs w:val="21"/>
                <w:highlight w:val="yellow"/>
              </w:rPr>
            </w:pPr>
            <w:r>
              <w:rPr>
                <w:rFonts w:hint="eastAsia" w:ascii="Times New Roman" w:hAnsi="Times New Roman" w:cs="Times New Roman"/>
                <w:sz w:val="21"/>
                <w:szCs w:val="21"/>
              </w:rPr>
              <w:t>44.5</w:t>
            </w:r>
          </w:p>
        </w:tc>
      </w:tr>
      <w:tr>
        <w:tblPrEx>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422" w:hRule="exact"/>
        </w:trPr>
        <w:tc>
          <w:tcPr>
            <w:tcW w:w="1437" w:type="dxa"/>
            <w:vMerge w:val="restart"/>
            <w:tcBorders>
              <w:tl2br w:val="nil"/>
              <w:tr2bl w:val="nil"/>
            </w:tcBorders>
            <w:vAlign w:val="center"/>
          </w:tcPr>
          <w:p>
            <w:pPr>
              <w:spacing w:line="360" w:lineRule="exact"/>
              <w:ind w:firstLine="0" w:firstLineChars="0"/>
              <w:jc w:val="both"/>
              <w:rPr>
                <w:rFonts w:ascii="Times New Roman" w:hAnsi="Times New Roman" w:cs="Times New Roman"/>
                <w:sz w:val="21"/>
                <w:szCs w:val="21"/>
              </w:rPr>
            </w:pPr>
            <w:r>
              <w:rPr>
                <w:rFonts w:ascii="Times New Roman" w:hAnsi="Times New Roman" w:cs="Times New Roman"/>
                <w:sz w:val="21"/>
                <w:szCs w:val="21"/>
              </w:rPr>
              <w:t>2018.0</w:t>
            </w:r>
            <w:r>
              <w:rPr>
                <w:rFonts w:hint="eastAsia" w:ascii="Times New Roman" w:hAnsi="Times New Roman" w:cs="Times New Roman"/>
                <w:sz w:val="21"/>
                <w:szCs w:val="21"/>
              </w:rPr>
              <w:t>5.02</w:t>
            </w:r>
          </w:p>
        </w:tc>
        <w:tc>
          <w:tcPr>
            <w:tcW w:w="1440" w:type="dxa"/>
            <w:tcBorders>
              <w:tl2br w:val="nil"/>
              <w:tr2bl w:val="nil"/>
            </w:tcBorders>
            <w:vAlign w:val="center"/>
          </w:tcPr>
          <w:p>
            <w:pPr>
              <w:spacing w:line="240" w:lineRule="auto"/>
              <w:ind w:firstLine="420"/>
              <w:jc w:val="center"/>
              <w:rPr>
                <w:rFonts w:ascii="Times New Roman" w:hAnsi="Times New Roman" w:cs="Times New Roman"/>
                <w:sz w:val="21"/>
                <w:szCs w:val="21"/>
              </w:rPr>
            </w:pPr>
            <w:r>
              <w:rPr>
                <w:rFonts w:ascii="Times New Roman" w:hAnsi="Times New Roman" w:cs="Times New Roman"/>
                <w:sz w:val="21"/>
                <w:szCs w:val="21"/>
              </w:rPr>
              <w:t>1#</w:t>
            </w:r>
          </w:p>
        </w:tc>
        <w:tc>
          <w:tcPr>
            <w:tcW w:w="1746" w:type="dxa"/>
            <w:tcBorders>
              <w:tl2br w:val="nil"/>
              <w:tr2bl w:val="nil"/>
            </w:tcBorders>
            <w:vAlign w:val="center"/>
          </w:tcPr>
          <w:p>
            <w:pPr>
              <w:ind w:firstLine="420"/>
              <w:jc w:val="center"/>
              <w:rPr>
                <w:rFonts w:ascii="Times New Roman" w:hAnsi="Times New Roman" w:cs="Times New Roman"/>
                <w:sz w:val="21"/>
                <w:szCs w:val="21"/>
              </w:rPr>
            </w:pPr>
            <w:r>
              <w:rPr>
                <w:rFonts w:hint="eastAsia" w:ascii="Times New Roman" w:hAnsi="Times New Roman" w:cs="Times New Roman"/>
                <w:sz w:val="21"/>
                <w:szCs w:val="21"/>
              </w:rPr>
              <w:t>东</w:t>
            </w:r>
            <w:r>
              <w:rPr>
                <w:rFonts w:ascii="Times New Roman" w:hAnsi="Times New Roman" w:cs="Times New Roman"/>
                <w:sz w:val="21"/>
                <w:szCs w:val="21"/>
              </w:rPr>
              <w:t>厂界外1m处</w:t>
            </w:r>
          </w:p>
        </w:tc>
        <w:tc>
          <w:tcPr>
            <w:tcW w:w="2283" w:type="dxa"/>
            <w:tcBorders>
              <w:tl2br w:val="nil"/>
              <w:tr2bl w:val="nil"/>
            </w:tcBorders>
            <w:vAlign w:val="center"/>
          </w:tcPr>
          <w:p>
            <w:pPr>
              <w:widowControl/>
              <w:ind w:firstLine="420"/>
              <w:jc w:val="center"/>
              <w:textAlignment w:val="center"/>
              <w:rPr>
                <w:rFonts w:ascii="Times New Roman" w:hAnsi="Times New Roman" w:cs="Times New Roman"/>
                <w:sz w:val="21"/>
                <w:szCs w:val="21"/>
                <w:highlight w:val="yellow"/>
              </w:rPr>
            </w:pPr>
            <w:r>
              <w:rPr>
                <w:rFonts w:hint="eastAsia" w:ascii="Times New Roman" w:hAnsi="Times New Roman" w:cs="Times New Roman"/>
                <w:sz w:val="21"/>
                <w:szCs w:val="21"/>
              </w:rPr>
              <w:t>53.6</w:t>
            </w:r>
          </w:p>
        </w:tc>
        <w:tc>
          <w:tcPr>
            <w:tcW w:w="2274" w:type="dxa"/>
            <w:tcBorders>
              <w:tl2br w:val="nil"/>
              <w:tr2bl w:val="nil"/>
            </w:tcBorders>
            <w:vAlign w:val="center"/>
          </w:tcPr>
          <w:p>
            <w:pPr>
              <w:widowControl/>
              <w:ind w:firstLine="420"/>
              <w:jc w:val="center"/>
              <w:textAlignment w:val="center"/>
              <w:rPr>
                <w:rFonts w:ascii="Times New Roman" w:hAnsi="Times New Roman" w:cs="Times New Roman"/>
                <w:sz w:val="21"/>
                <w:szCs w:val="21"/>
                <w:highlight w:val="yellow"/>
              </w:rPr>
            </w:pPr>
            <w:r>
              <w:rPr>
                <w:rFonts w:hint="eastAsia" w:ascii="Times New Roman" w:hAnsi="Times New Roman" w:cs="Times New Roman"/>
                <w:sz w:val="21"/>
                <w:szCs w:val="21"/>
              </w:rPr>
              <w:t>44.2</w:t>
            </w:r>
          </w:p>
        </w:tc>
      </w:tr>
      <w:tr>
        <w:tblPrEx>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422" w:hRule="exact"/>
        </w:trPr>
        <w:tc>
          <w:tcPr>
            <w:tcW w:w="1437" w:type="dxa"/>
            <w:vMerge w:val="continue"/>
            <w:tcBorders>
              <w:tl2br w:val="nil"/>
              <w:tr2bl w:val="nil"/>
            </w:tcBorders>
            <w:vAlign w:val="center"/>
          </w:tcPr>
          <w:p>
            <w:pPr>
              <w:spacing w:line="520" w:lineRule="exact"/>
              <w:ind w:firstLine="420"/>
              <w:jc w:val="center"/>
              <w:rPr>
                <w:rFonts w:ascii="Times New Roman" w:hAnsi="Times New Roman" w:cs="Times New Roman"/>
                <w:sz w:val="21"/>
                <w:szCs w:val="21"/>
              </w:rPr>
            </w:pPr>
          </w:p>
        </w:tc>
        <w:tc>
          <w:tcPr>
            <w:tcW w:w="1440" w:type="dxa"/>
            <w:tcBorders>
              <w:tl2br w:val="nil"/>
              <w:tr2bl w:val="nil"/>
            </w:tcBorders>
            <w:vAlign w:val="center"/>
          </w:tcPr>
          <w:p>
            <w:pPr>
              <w:spacing w:line="240" w:lineRule="auto"/>
              <w:ind w:firstLine="420"/>
              <w:jc w:val="center"/>
              <w:rPr>
                <w:rFonts w:ascii="Times New Roman" w:hAnsi="Times New Roman" w:cs="Times New Roman"/>
                <w:sz w:val="21"/>
                <w:szCs w:val="21"/>
              </w:rPr>
            </w:pPr>
            <w:r>
              <w:rPr>
                <w:rFonts w:ascii="Times New Roman" w:hAnsi="Times New Roman" w:cs="Times New Roman"/>
                <w:sz w:val="21"/>
                <w:szCs w:val="21"/>
              </w:rPr>
              <w:t>2#</w:t>
            </w:r>
          </w:p>
        </w:tc>
        <w:tc>
          <w:tcPr>
            <w:tcW w:w="1746" w:type="dxa"/>
            <w:tcBorders>
              <w:tl2br w:val="nil"/>
              <w:tr2bl w:val="nil"/>
            </w:tcBorders>
            <w:vAlign w:val="center"/>
          </w:tcPr>
          <w:p>
            <w:pPr>
              <w:spacing w:line="360" w:lineRule="exact"/>
              <w:ind w:firstLine="420"/>
              <w:jc w:val="center"/>
              <w:rPr>
                <w:rFonts w:ascii="Times New Roman" w:hAnsi="Times New Roman" w:cs="Times New Roman"/>
                <w:sz w:val="21"/>
                <w:szCs w:val="21"/>
              </w:rPr>
            </w:pPr>
            <w:r>
              <w:rPr>
                <w:rFonts w:hint="eastAsia" w:ascii="Times New Roman" w:hAnsi="Times New Roman" w:cs="Times New Roman"/>
                <w:sz w:val="21"/>
                <w:szCs w:val="21"/>
              </w:rPr>
              <w:t>南</w:t>
            </w:r>
            <w:r>
              <w:rPr>
                <w:rFonts w:ascii="Times New Roman" w:hAnsi="Times New Roman" w:cs="Times New Roman"/>
                <w:sz w:val="21"/>
                <w:szCs w:val="21"/>
              </w:rPr>
              <w:t>厂界外1m处</w:t>
            </w:r>
          </w:p>
        </w:tc>
        <w:tc>
          <w:tcPr>
            <w:tcW w:w="2283" w:type="dxa"/>
            <w:tcBorders>
              <w:tl2br w:val="nil"/>
              <w:tr2bl w:val="nil"/>
            </w:tcBorders>
            <w:vAlign w:val="center"/>
          </w:tcPr>
          <w:p>
            <w:pPr>
              <w:widowControl/>
              <w:tabs>
                <w:tab w:val="left" w:pos="965"/>
                <w:tab w:val="center" w:pos="1303"/>
              </w:tabs>
              <w:ind w:firstLine="420"/>
              <w:textAlignment w:val="center"/>
              <w:rPr>
                <w:rFonts w:ascii="Times New Roman" w:hAnsi="Times New Roman" w:cs="Times New Roman"/>
                <w:sz w:val="21"/>
                <w:szCs w:val="21"/>
                <w:highlight w:val="yellow"/>
              </w:rPr>
            </w:pPr>
            <w:r>
              <w:rPr>
                <w:rFonts w:hint="eastAsia" w:ascii="Times New Roman" w:hAnsi="Times New Roman" w:cs="Times New Roman"/>
                <w:sz w:val="21"/>
                <w:szCs w:val="21"/>
              </w:rPr>
              <w:tab/>
            </w:r>
            <w:r>
              <w:rPr>
                <w:rFonts w:hint="eastAsia" w:ascii="Times New Roman" w:hAnsi="Times New Roman" w:cs="Times New Roman"/>
                <w:sz w:val="21"/>
                <w:szCs w:val="21"/>
              </w:rPr>
              <w:t xml:space="preserve"> 55.4</w:t>
            </w:r>
          </w:p>
        </w:tc>
        <w:tc>
          <w:tcPr>
            <w:tcW w:w="2274" w:type="dxa"/>
            <w:tcBorders>
              <w:tl2br w:val="nil"/>
              <w:tr2bl w:val="nil"/>
            </w:tcBorders>
            <w:vAlign w:val="center"/>
          </w:tcPr>
          <w:p>
            <w:pPr>
              <w:widowControl/>
              <w:ind w:firstLine="420"/>
              <w:jc w:val="center"/>
              <w:textAlignment w:val="center"/>
              <w:rPr>
                <w:rFonts w:ascii="Times New Roman" w:hAnsi="Times New Roman" w:cs="Times New Roman"/>
                <w:sz w:val="21"/>
                <w:szCs w:val="21"/>
                <w:highlight w:val="yellow"/>
              </w:rPr>
            </w:pPr>
            <w:r>
              <w:rPr>
                <w:rFonts w:hint="eastAsia" w:ascii="Times New Roman" w:hAnsi="Times New Roman" w:cs="Times New Roman"/>
                <w:sz w:val="21"/>
                <w:szCs w:val="21"/>
              </w:rPr>
              <w:t>46.0</w:t>
            </w:r>
          </w:p>
        </w:tc>
      </w:tr>
      <w:tr>
        <w:tblPrEx>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422" w:hRule="exact"/>
        </w:trPr>
        <w:tc>
          <w:tcPr>
            <w:tcW w:w="1437" w:type="dxa"/>
            <w:vMerge w:val="continue"/>
            <w:tcBorders>
              <w:tl2br w:val="nil"/>
              <w:tr2bl w:val="nil"/>
            </w:tcBorders>
            <w:vAlign w:val="center"/>
          </w:tcPr>
          <w:p>
            <w:pPr>
              <w:spacing w:line="520" w:lineRule="exact"/>
              <w:ind w:firstLine="420"/>
              <w:jc w:val="center"/>
              <w:rPr>
                <w:rFonts w:ascii="Times New Roman" w:hAnsi="Times New Roman" w:cs="Times New Roman"/>
                <w:sz w:val="21"/>
                <w:szCs w:val="21"/>
              </w:rPr>
            </w:pPr>
          </w:p>
        </w:tc>
        <w:tc>
          <w:tcPr>
            <w:tcW w:w="1440" w:type="dxa"/>
            <w:tcBorders>
              <w:tl2br w:val="nil"/>
              <w:tr2bl w:val="nil"/>
            </w:tcBorders>
            <w:vAlign w:val="center"/>
          </w:tcPr>
          <w:p>
            <w:pPr>
              <w:spacing w:line="240" w:lineRule="auto"/>
              <w:ind w:firstLine="420"/>
              <w:jc w:val="center"/>
              <w:rPr>
                <w:rFonts w:ascii="Times New Roman" w:hAnsi="Times New Roman" w:cs="Times New Roman"/>
                <w:sz w:val="21"/>
                <w:szCs w:val="21"/>
              </w:rPr>
            </w:pPr>
            <w:r>
              <w:rPr>
                <w:rFonts w:ascii="Times New Roman" w:hAnsi="Times New Roman" w:cs="Times New Roman"/>
                <w:sz w:val="21"/>
                <w:szCs w:val="21"/>
              </w:rPr>
              <w:t>3#</w:t>
            </w:r>
          </w:p>
        </w:tc>
        <w:tc>
          <w:tcPr>
            <w:tcW w:w="1746" w:type="dxa"/>
            <w:tcBorders>
              <w:tl2br w:val="nil"/>
              <w:tr2bl w:val="nil"/>
            </w:tcBorders>
            <w:vAlign w:val="center"/>
          </w:tcPr>
          <w:p>
            <w:pPr>
              <w:spacing w:line="360" w:lineRule="exact"/>
              <w:ind w:firstLine="420"/>
              <w:jc w:val="center"/>
              <w:rPr>
                <w:rFonts w:ascii="Times New Roman" w:hAnsi="Times New Roman" w:cs="Times New Roman"/>
                <w:sz w:val="21"/>
                <w:szCs w:val="21"/>
              </w:rPr>
            </w:pPr>
            <w:r>
              <w:rPr>
                <w:rFonts w:ascii="Times New Roman" w:hAnsi="Times New Roman" w:cs="Times New Roman"/>
                <w:sz w:val="21"/>
                <w:szCs w:val="21"/>
              </w:rPr>
              <w:t>西厂界外1m处</w:t>
            </w:r>
          </w:p>
        </w:tc>
        <w:tc>
          <w:tcPr>
            <w:tcW w:w="2283" w:type="dxa"/>
            <w:tcBorders>
              <w:tl2br w:val="nil"/>
              <w:tr2bl w:val="nil"/>
            </w:tcBorders>
            <w:vAlign w:val="center"/>
          </w:tcPr>
          <w:p>
            <w:pPr>
              <w:widowControl/>
              <w:ind w:firstLine="420"/>
              <w:jc w:val="center"/>
              <w:textAlignment w:val="center"/>
              <w:rPr>
                <w:rFonts w:ascii="Times New Roman" w:hAnsi="Times New Roman" w:cs="Times New Roman"/>
                <w:sz w:val="21"/>
                <w:szCs w:val="21"/>
                <w:highlight w:val="yellow"/>
              </w:rPr>
            </w:pPr>
            <w:r>
              <w:rPr>
                <w:rFonts w:hint="eastAsia" w:ascii="Times New Roman" w:hAnsi="Times New Roman" w:cs="Times New Roman"/>
                <w:sz w:val="21"/>
                <w:szCs w:val="21"/>
              </w:rPr>
              <w:t>54.8</w:t>
            </w:r>
          </w:p>
        </w:tc>
        <w:tc>
          <w:tcPr>
            <w:tcW w:w="2274" w:type="dxa"/>
            <w:tcBorders>
              <w:tl2br w:val="nil"/>
              <w:tr2bl w:val="nil"/>
            </w:tcBorders>
            <w:vAlign w:val="center"/>
          </w:tcPr>
          <w:p>
            <w:pPr>
              <w:widowControl/>
              <w:ind w:firstLine="420"/>
              <w:jc w:val="center"/>
              <w:textAlignment w:val="center"/>
              <w:rPr>
                <w:rFonts w:ascii="Times New Roman" w:hAnsi="Times New Roman" w:cs="Times New Roman"/>
                <w:sz w:val="21"/>
                <w:szCs w:val="21"/>
                <w:highlight w:val="yellow"/>
              </w:rPr>
            </w:pPr>
            <w:r>
              <w:rPr>
                <w:rFonts w:hint="eastAsia" w:ascii="Times New Roman" w:hAnsi="Times New Roman" w:cs="Times New Roman"/>
                <w:sz w:val="21"/>
                <w:szCs w:val="21"/>
              </w:rPr>
              <w:t>45.5</w:t>
            </w:r>
          </w:p>
        </w:tc>
      </w:tr>
      <w:tr>
        <w:tblPrEx>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422" w:hRule="exact"/>
        </w:trPr>
        <w:tc>
          <w:tcPr>
            <w:tcW w:w="1437" w:type="dxa"/>
            <w:vMerge w:val="continue"/>
            <w:tcBorders>
              <w:tl2br w:val="nil"/>
              <w:tr2bl w:val="nil"/>
            </w:tcBorders>
            <w:vAlign w:val="center"/>
          </w:tcPr>
          <w:p>
            <w:pPr>
              <w:spacing w:line="520" w:lineRule="exact"/>
              <w:ind w:firstLine="420"/>
              <w:jc w:val="center"/>
              <w:rPr>
                <w:rFonts w:ascii="Times New Roman" w:hAnsi="Times New Roman" w:cs="Times New Roman"/>
                <w:sz w:val="21"/>
                <w:szCs w:val="21"/>
              </w:rPr>
            </w:pPr>
          </w:p>
        </w:tc>
        <w:tc>
          <w:tcPr>
            <w:tcW w:w="1440" w:type="dxa"/>
            <w:tcBorders>
              <w:tl2br w:val="nil"/>
              <w:tr2bl w:val="nil"/>
            </w:tcBorders>
            <w:vAlign w:val="center"/>
          </w:tcPr>
          <w:p>
            <w:pPr>
              <w:spacing w:line="240" w:lineRule="auto"/>
              <w:ind w:firstLine="420"/>
              <w:jc w:val="center"/>
              <w:rPr>
                <w:rFonts w:ascii="Times New Roman" w:hAnsi="Times New Roman" w:cs="Times New Roman"/>
                <w:sz w:val="21"/>
                <w:szCs w:val="21"/>
              </w:rPr>
            </w:pPr>
            <w:r>
              <w:rPr>
                <w:rFonts w:ascii="Times New Roman" w:hAnsi="Times New Roman" w:cs="Times New Roman"/>
                <w:sz w:val="21"/>
                <w:szCs w:val="21"/>
              </w:rPr>
              <w:t>4#</w:t>
            </w:r>
          </w:p>
        </w:tc>
        <w:tc>
          <w:tcPr>
            <w:tcW w:w="1746" w:type="dxa"/>
            <w:tcBorders>
              <w:tl2br w:val="nil"/>
              <w:tr2bl w:val="nil"/>
            </w:tcBorders>
            <w:vAlign w:val="center"/>
          </w:tcPr>
          <w:p>
            <w:pPr>
              <w:spacing w:line="360" w:lineRule="exact"/>
              <w:ind w:firstLine="420"/>
              <w:jc w:val="center"/>
              <w:rPr>
                <w:rFonts w:ascii="Times New Roman" w:hAnsi="Times New Roman" w:cs="Times New Roman"/>
                <w:sz w:val="21"/>
                <w:szCs w:val="21"/>
              </w:rPr>
            </w:pPr>
            <w:r>
              <w:rPr>
                <w:rFonts w:ascii="Times New Roman" w:hAnsi="Times New Roman" w:cs="Times New Roman"/>
                <w:sz w:val="21"/>
                <w:szCs w:val="21"/>
              </w:rPr>
              <w:t>北厂界外1m处</w:t>
            </w:r>
          </w:p>
        </w:tc>
        <w:tc>
          <w:tcPr>
            <w:tcW w:w="2283" w:type="dxa"/>
            <w:tcBorders>
              <w:tl2br w:val="nil"/>
              <w:tr2bl w:val="nil"/>
            </w:tcBorders>
            <w:vAlign w:val="center"/>
          </w:tcPr>
          <w:p>
            <w:pPr>
              <w:widowControl/>
              <w:ind w:firstLine="420"/>
              <w:jc w:val="center"/>
              <w:textAlignment w:val="center"/>
              <w:rPr>
                <w:rFonts w:ascii="Times New Roman" w:hAnsi="Times New Roman" w:cs="Times New Roman"/>
                <w:sz w:val="21"/>
                <w:szCs w:val="21"/>
              </w:rPr>
            </w:pPr>
            <w:r>
              <w:rPr>
                <w:rFonts w:hint="eastAsia" w:ascii="Times New Roman" w:hAnsi="Times New Roman" w:cs="Times New Roman"/>
                <w:sz w:val="21"/>
                <w:szCs w:val="21"/>
              </w:rPr>
              <w:t>54.3</w:t>
            </w:r>
          </w:p>
        </w:tc>
        <w:tc>
          <w:tcPr>
            <w:tcW w:w="2274" w:type="dxa"/>
            <w:tcBorders>
              <w:tl2br w:val="nil"/>
              <w:tr2bl w:val="nil"/>
            </w:tcBorders>
            <w:vAlign w:val="center"/>
          </w:tcPr>
          <w:p>
            <w:pPr>
              <w:widowControl/>
              <w:ind w:firstLine="420"/>
              <w:jc w:val="center"/>
              <w:textAlignment w:val="center"/>
              <w:rPr>
                <w:rFonts w:ascii="Times New Roman" w:hAnsi="Times New Roman" w:cs="Times New Roman"/>
                <w:sz w:val="21"/>
                <w:szCs w:val="21"/>
              </w:rPr>
            </w:pPr>
            <w:r>
              <w:rPr>
                <w:rFonts w:hint="eastAsia" w:ascii="Times New Roman" w:hAnsi="Times New Roman" w:cs="Times New Roman"/>
                <w:sz w:val="21"/>
                <w:szCs w:val="21"/>
              </w:rPr>
              <w:t>44.9</w:t>
            </w:r>
          </w:p>
        </w:tc>
      </w:tr>
      <w:tr>
        <w:tblPrEx>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422" w:hRule="exact"/>
        </w:trPr>
        <w:tc>
          <w:tcPr>
            <w:tcW w:w="4623" w:type="dxa"/>
            <w:gridSpan w:val="3"/>
            <w:tcBorders>
              <w:tl2br w:val="nil"/>
              <w:tr2bl w:val="nil"/>
            </w:tcBorders>
            <w:vAlign w:val="center"/>
          </w:tcPr>
          <w:p>
            <w:pPr>
              <w:spacing w:line="360" w:lineRule="exact"/>
              <w:ind w:firstLine="420"/>
              <w:jc w:val="center"/>
              <w:rPr>
                <w:rFonts w:ascii="Times New Roman" w:hAnsi="Times New Roman" w:cs="Times New Roman"/>
                <w:sz w:val="21"/>
                <w:szCs w:val="21"/>
              </w:rPr>
            </w:pPr>
            <w:r>
              <w:rPr>
                <w:rFonts w:ascii="Times New Roman" w:hAnsi="Times New Roman" w:cs="Times New Roman"/>
                <w:sz w:val="21"/>
                <w:szCs w:val="21"/>
              </w:rPr>
              <w:t>最大值</w:t>
            </w:r>
          </w:p>
        </w:tc>
        <w:tc>
          <w:tcPr>
            <w:tcW w:w="2283" w:type="dxa"/>
            <w:tcBorders>
              <w:tl2br w:val="nil"/>
              <w:tr2bl w:val="nil"/>
            </w:tcBorders>
            <w:vAlign w:val="center"/>
          </w:tcPr>
          <w:p>
            <w:pPr>
              <w:widowControl/>
              <w:ind w:firstLine="422"/>
              <w:jc w:val="center"/>
              <w:textAlignment w:val="center"/>
              <w:rPr>
                <w:rFonts w:ascii="Times New Roman" w:hAnsi="Times New Roman" w:cs="Times New Roman"/>
                <w:b/>
                <w:bCs/>
                <w:color w:val="000000"/>
                <w:sz w:val="21"/>
                <w:szCs w:val="21"/>
              </w:rPr>
            </w:pPr>
            <w:r>
              <w:rPr>
                <w:rFonts w:hint="eastAsia" w:ascii="Times New Roman" w:hAnsi="Times New Roman" w:cs="Times New Roman"/>
                <w:b/>
                <w:bCs/>
                <w:color w:val="000000"/>
                <w:sz w:val="21"/>
                <w:szCs w:val="21"/>
              </w:rPr>
              <w:t>55.4</w:t>
            </w:r>
          </w:p>
        </w:tc>
        <w:tc>
          <w:tcPr>
            <w:tcW w:w="2274" w:type="dxa"/>
            <w:tcBorders>
              <w:tl2br w:val="nil"/>
              <w:tr2bl w:val="nil"/>
            </w:tcBorders>
            <w:vAlign w:val="center"/>
          </w:tcPr>
          <w:p>
            <w:pPr>
              <w:widowControl/>
              <w:ind w:firstLine="422"/>
              <w:jc w:val="center"/>
              <w:textAlignment w:val="center"/>
              <w:rPr>
                <w:rFonts w:ascii="Times New Roman" w:hAnsi="Times New Roman" w:cs="Times New Roman"/>
                <w:b/>
                <w:bCs/>
                <w:color w:val="000000"/>
                <w:sz w:val="21"/>
                <w:szCs w:val="21"/>
              </w:rPr>
            </w:pPr>
            <w:r>
              <w:rPr>
                <w:rFonts w:hint="eastAsia" w:ascii="Times New Roman" w:hAnsi="Times New Roman" w:cs="Times New Roman"/>
                <w:b/>
                <w:bCs/>
                <w:color w:val="000000"/>
                <w:sz w:val="21"/>
                <w:szCs w:val="21"/>
              </w:rPr>
              <w:t>46.7</w:t>
            </w:r>
          </w:p>
        </w:tc>
      </w:tr>
      <w:tr>
        <w:tblPrEx>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422" w:hRule="exact"/>
        </w:trPr>
        <w:tc>
          <w:tcPr>
            <w:tcW w:w="4623" w:type="dxa"/>
            <w:gridSpan w:val="3"/>
            <w:tcBorders>
              <w:tl2br w:val="nil"/>
              <w:tr2bl w:val="nil"/>
            </w:tcBorders>
            <w:vAlign w:val="center"/>
          </w:tcPr>
          <w:p>
            <w:pPr>
              <w:spacing w:line="360" w:lineRule="exact"/>
              <w:ind w:firstLine="420"/>
              <w:jc w:val="center"/>
              <w:rPr>
                <w:rFonts w:ascii="Times New Roman" w:hAnsi="Times New Roman" w:cs="Times New Roman"/>
                <w:sz w:val="21"/>
                <w:szCs w:val="21"/>
              </w:rPr>
            </w:pPr>
            <w:r>
              <w:rPr>
                <w:rFonts w:ascii="Times New Roman" w:hAnsi="Times New Roman" w:cs="Times New Roman"/>
                <w:sz w:val="21"/>
                <w:szCs w:val="21"/>
              </w:rPr>
              <w:t>标准限值</w:t>
            </w:r>
          </w:p>
        </w:tc>
        <w:tc>
          <w:tcPr>
            <w:tcW w:w="2283" w:type="dxa"/>
            <w:tcBorders>
              <w:tl2br w:val="nil"/>
              <w:tr2bl w:val="nil"/>
            </w:tcBorders>
            <w:vAlign w:val="center"/>
          </w:tcPr>
          <w:p>
            <w:pPr>
              <w:widowControl/>
              <w:ind w:firstLine="420"/>
              <w:jc w:val="center"/>
              <w:textAlignment w:val="center"/>
              <w:rPr>
                <w:rFonts w:ascii="Times New Roman" w:hAnsi="Times New Roman" w:cs="Times New Roman"/>
                <w:sz w:val="21"/>
                <w:szCs w:val="21"/>
                <w:lang w:bidi="ar"/>
              </w:rPr>
            </w:pPr>
            <w:r>
              <w:rPr>
                <w:rFonts w:ascii="Times New Roman" w:hAnsi="Times New Roman" w:cs="Times New Roman"/>
                <w:sz w:val="21"/>
                <w:szCs w:val="21"/>
              </w:rPr>
              <w:t>60</w:t>
            </w:r>
          </w:p>
        </w:tc>
        <w:tc>
          <w:tcPr>
            <w:tcW w:w="2274" w:type="dxa"/>
            <w:tcBorders>
              <w:tl2br w:val="nil"/>
              <w:tr2bl w:val="nil"/>
            </w:tcBorders>
            <w:vAlign w:val="center"/>
          </w:tcPr>
          <w:p>
            <w:pPr>
              <w:widowControl/>
              <w:ind w:firstLine="420"/>
              <w:jc w:val="center"/>
              <w:textAlignment w:val="center"/>
              <w:rPr>
                <w:rFonts w:ascii="Times New Roman" w:hAnsi="Times New Roman" w:cs="Times New Roman"/>
                <w:sz w:val="21"/>
                <w:szCs w:val="21"/>
                <w:lang w:bidi="ar"/>
              </w:rPr>
            </w:pPr>
            <w:r>
              <w:rPr>
                <w:rFonts w:ascii="Times New Roman" w:hAnsi="Times New Roman" w:cs="Times New Roman"/>
                <w:sz w:val="21"/>
                <w:szCs w:val="21"/>
              </w:rPr>
              <w:t>50</w:t>
            </w:r>
          </w:p>
        </w:tc>
      </w:tr>
      <w:tr>
        <w:tblPrEx>
          <w:tblBorders>
            <w:top w:val="double" w:color="000000" w:sz="4" w:space="0"/>
            <w:left w:val="none" w:color="auto" w:sz="0" w:space="0"/>
            <w:bottom w:val="double" w:color="000000" w:sz="4" w:space="0"/>
            <w:right w:val="none" w:color="auto" w:sz="0" w:space="0"/>
            <w:insideH w:val="single" w:color="000000" w:sz="4" w:space="0"/>
            <w:insideV w:val="single" w:color="000000" w:sz="4" w:space="0"/>
          </w:tblBorders>
          <w:tblLayout w:type="fixed"/>
          <w:tblCellMar>
            <w:top w:w="0" w:type="dxa"/>
            <w:left w:w="108" w:type="dxa"/>
            <w:bottom w:w="0" w:type="dxa"/>
            <w:right w:w="108" w:type="dxa"/>
          </w:tblCellMar>
        </w:tblPrEx>
        <w:trPr>
          <w:trHeight w:val="449" w:hRule="exact"/>
        </w:trPr>
        <w:tc>
          <w:tcPr>
            <w:tcW w:w="4623" w:type="dxa"/>
            <w:gridSpan w:val="3"/>
            <w:tcBorders>
              <w:tl2br w:val="nil"/>
              <w:tr2bl w:val="nil"/>
            </w:tcBorders>
            <w:vAlign w:val="center"/>
          </w:tcPr>
          <w:p>
            <w:pPr>
              <w:spacing w:line="360" w:lineRule="exact"/>
              <w:ind w:firstLine="420"/>
              <w:jc w:val="center"/>
              <w:rPr>
                <w:rFonts w:ascii="Times New Roman" w:hAnsi="Times New Roman" w:cs="Times New Roman"/>
                <w:sz w:val="21"/>
                <w:szCs w:val="21"/>
              </w:rPr>
            </w:pPr>
            <w:r>
              <w:rPr>
                <w:rFonts w:ascii="Times New Roman" w:hAnsi="Times New Roman" w:cs="Times New Roman"/>
                <w:sz w:val="21"/>
                <w:szCs w:val="21"/>
              </w:rPr>
              <w:t>结果评价</w:t>
            </w:r>
          </w:p>
        </w:tc>
        <w:tc>
          <w:tcPr>
            <w:tcW w:w="2283" w:type="dxa"/>
            <w:tcBorders>
              <w:tl2br w:val="nil"/>
              <w:tr2bl w:val="nil"/>
            </w:tcBorders>
            <w:vAlign w:val="center"/>
          </w:tcPr>
          <w:p>
            <w:pPr>
              <w:widowControl/>
              <w:ind w:firstLine="420"/>
              <w:jc w:val="center"/>
              <w:textAlignment w:val="center"/>
              <w:rPr>
                <w:rFonts w:ascii="Times New Roman" w:hAnsi="Times New Roman" w:cs="Times New Roman"/>
                <w:sz w:val="21"/>
                <w:szCs w:val="21"/>
              </w:rPr>
            </w:pPr>
            <w:r>
              <w:rPr>
                <w:rFonts w:ascii="Times New Roman" w:hAnsi="Times New Roman" w:cs="Times New Roman"/>
                <w:sz w:val="21"/>
                <w:szCs w:val="21"/>
              </w:rPr>
              <w:t>合格</w:t>
            </w:r>
          </w:p>
        </w:tc>
        <w:tc>
          <w:tcPr>
            <w:tcW w:w="2274" w:type="dxa"/>
            <w:tcBorders>
              <w:tl2br w:val="nil"/>
              <w:tr2bl w:val="nil"/>
            </w:tcBorders>
            <w:vAlign w:val="center"/>
          </w:tcPr>
          <w:p>
            <w:pPr>
              <w:widowControl/>
              <w:ind w:firstLine="420"/>
              <w:jc w:val="center"/>
              <w:textAlignment w:val="center"/>
              <w:rPr>
                <w:rFonts w:ascii="Times New Roman" w:hAnsi="Times New Roman" w:cs="Times New Roman"/>
                <w:sz w:val="21"/>
                <w:szCs w:val="21"/>
              </w:rPr>
            </w:pPr>
            <w:r>
              <w:rPr>
                <w:rFonts w:ascii="Times New Roman" w:hAnsi="Times New Roman" w:cs="Times New Roman"/>
                <w:sz w:val="21"/>
                <w:szCs w:val="21"/>
              </w:rPr>
              <w:t>合格</w:t>
            </w:r>
          </w:p>
        </w:tc>
      </w:tr>
    </w:tbl>
    <w:p>
      <w:pPr>
        <w:pStyle w:val="23"/>
        <w:autoSpaceDE w:val="0"/>
        <w:autoSpaceDN w:val="0"/>
        <w:spacing w:before="156" w:beforeLines="50"/>
        <w:ind w:firstLine="560"/>
        <w:rPr>
          <w:rFonts w:ascii="宋体" w:hAnsi="宋体" w:cs="宋体"/>
          <w:sz w:val="28"/>
          <w:szCs w:val="22"/>
        </w:rPr>
        <w:sectPr>
          <w:pgSz w:w="11906" w:h="16838"/>
          <w:pgMar w:top="1440" w:right="1800" w:bottom="1440" w:left="1800" w:header="851" w:footer="992" w:gutter="0"/>
          <w:cols w:space="425" w:num="1"/>
          <w:docGrid w:type="lines" w:linePitch="312" w:charSpace="0"/>
        </w:sectPr>
      </w:pPr>
      <w:r>
        <w:rPr>
          <w:rFonts w:hint="eastAsia" w:ascii="宋体" w:hAnsi="宋体" w:cs="宋体"/>
          <w:sz w:val="28"/>
          <w:szCs w:val="28"/>
        </w:rPr>
        <w:t>验收期间，各厂界昼间噪声最大值为55.4dB(A)，夜间噪声最大值为46.7dB(A)，满足</w:t>
      </w:r>
      <w:r>
        <w:rPr>
          <w:rFonts w:hint="eastAsia" w:ascii="宋体" w:hAnsi="宋体" w:cs="宋体"/>
          <w:sz w:val="28"/>
          <w:szCs w:val="22"/>
        </w:rPr>
        <w:t>《社会生活环境噪声排放标准》(GB22337-2008)中的的相应标准。</w:t>
      </w:r>
    </w:p>
    <w:p>
      <w:pPr>
        <w:pStyle w:val="5"/>
        <w:rPr>
          <w:rFonts w:ascii="Times New Roman" w:hAnsi="Times New Roman" w:cs="Times New Roman"/>
        </w:rPr>
      </w:pPr>
      <w:bookmarkStart w:id="192" w:name="_Toc17432_WPSOffice_Level1"/>
      <w:bookmarkStart w:id="193" w:name="_Toc30312_WPSOffice_Level1"/>
      <w:r>
        <w:rPr>
          <w:rFonts w:hint="eastAsia" w:ascii="Times New Roman" w:hAnsi="Times New Roman" w:cs="Times New Roman"/>
        </w:rPr>
        <w:t>十、</w:t>
      </w:r>
      <w:r>
        <w:rPr>
          <w:rFonts w:ascii="Times New Roman" w:hAnsi="Times New Roman" w:cs="Times New Roman"/>
        </w:rPr>
        <w:t>验收监测结论</w:t>
      </w:r>
      <w:bookmarkEnd w:id="192"/>
      <w:bookmarkEnd w:id="193"/>
    </w:p>
    <w:p>
      <w:pPr>
        <w:pStyle w:val="6"/>
        <w:ind w:firstLine="0" w:firstLineChars="0"/>
        <w:rPr>
          <w:rFonts w:ascii="Times New Roman" w:hAnsi="Times New Roman" w:cs="Times New Roman"/>
        </w:rPr>
      </w:pPr>
      <w:bookmarkStart w:id="194" w:name="_Toc7607_WPSOffice_Level2"/>
      <w:bookmarkStart w:id="195" w:name="_Toc22300_WPSOffice_Level2"/>
      <w:r>
        <w:rPr>
          <w:rFonts w:hint="eastAsia" w:ascii="Times New Roman" w:hAnsi="Times New Roman" w:cs="Times New Roman"/>
        </w:rPr>
        <w:t>10.1</w:t>
      </w:r>
      <w:r>
        <w:rPr>
          <w:rFonts w:ascii="Times New Roman" w:hAnsi="Times New Roman" w:cs="Times New Roman"/>
        </w:rPr>
        <w:t>环境保设施调试效果</w:t>
      </w:r>
      <w:bookmarkEnd w:id="194"/>
      <w:bookmarkEnd w:id="195"/>
    </w:p>
    <w:p>
      <w:pPr>
        <w:pStyle w:val="7"/>
        <w:numPr>
          <w:ilvl w:val="2"/>
          <w:numId w:val="0"/>
        </w:numPr>
      </w:pPr>
      <w:r>
        <w:rPr>
          <w:rFonts w:hint="eastAsia"/>
        </w:rPr>
        <w:t>10.1.1</w:t>
      </w:r>
      <w:r>
        <w:t>噪声监测结论</w:t>
      </w:r>
    </w:p>
    <w:p>
      <w:pPr>
        <w:ind w:firstLine="512" w:firstLineChars="183"/>
        <w:rPr>
          <w:rFonts w:ascii="宋体" w:hAnsi="宋体" w:cs="宋体"/>
          <w:szCs w:val="28"/>
        </w:rPr>
      </w:pPr>
      <w:r>
        <w:rPr>
          <w:rFonts w:hint="eastAsia" w:ascii="宋体" w:hAnsi="宋体" w:cs="宋体"/>
          <w:szCs w:val="28"/>
        </w:rPr>
        <w:t>项目供热采用热水集中供热方式</w:t>
      </w:r>
      <w:r>
        <w:rPr>
          <w:rFonts w:hint="eastAsia" w:ascii="宋体" w:hAnsi="宋体" w:cs="宋体"/>
          <w:color w:val="000000" w:themeColor="text1"/>
          <w:szCs w:val="28"/>
          <w14:textFill>
            <w14:solidFill>
              <w14:schemeClr w14:val="tx1"/>
            </w14:solidFill>
          </w14:textFill>
        </w:rPr>
        <w:t>（热水由得力斯提供），小区内设置换热站。因此，主要噪声源为汽车进出项目区时的交通</w:t>
      </w:r>
      <w:r>
        <w:rPr>
          <w:rFonts w:hint="eastAsia" w:ascii="宋体" w:hAnsi="宋体" w:cs="宋体"/>
          <w:szCs w:val="28"/>
        </w:rPr>
        <w:t>噪声，夏季空调产生的噪声以及冬季供热泵房产生的机器噪声，在空调机组的布置中除应考虑排风通畅，避免排风回流以外，在机组的底座及进出水管处必须安装减震装置，隔震效率要满足设计要求。各种泵类等噪声源采取合理的布置方式，远离噪声敏感点，对泵类安装基础减振、加设隔声罩，对供热泵房墙体采用隔声或吸声材料、安装隔声门窗、设置绿化带作为隔声屏障等降低噪声影响。同时，应严格要求进出项目区域的车辆保持低速，并禁止鸣喇叭。</w:t>
      </w:r>
    </w:p>
    <w:p>
      <w:pPr>
        <w:adjustRightInd w:val="0"/>
        <w:spacing w:line="520" w:lineRule="exact"/>
        <w:ind w:firstLine="560"/>
        <w:rPr>
          <w:rFonts w:ascii="宋体" w:hAnsi="宋体" w:cs="宋体"/>
          <w:szCs w:val="28"/>
        </w:rPr>
      </w:pPr>
      <w:r>
        <w:rPr>
          <w:rFonts w:hint="eastAsia" w:ascii="宋体" w:hAnsi="宋体" w:cs="宋体"/>
          <w:szCs w:val="28"/>
        </w:rPr>
        <w:t>验收监测期间，项目区四周测得的昼夜噪声均满足《社会生活环境噪声排放标准》（GB 22337-2008）的2类标准。</w:t>
      </w:r>
    </w:p>
    <w:p>
      <w:pPr>
        <w:pStyle w:val="6"/>
        <w:ind w:firstLine="0" w:firstLineChars="0"/>
      </w:pPr>
      <w:bookmarkStart w:id="196" w:name="_Toc19850"/>
      <w:bookmarkStart w:id="197" w:name="_Toc455834110"/>
      <w:r>
        <w:rPr>
          <w:rFonts w:hint="eastAsia"/>
        </w:rPr>
        <w:t>10.1.2废水监测结论</w:t>
      </w:r>
    </w:p>
    <w:bookmarkEnd w:id="196"/>
    <w:bookmarkEnd w:id="197"/>
    <w:p>
      <w:pPr>
        <w:adjustRightInd w:val="0"/>
        <w:snapToGrid w:val="0"/>
        <w:ind w:firstLine="560"/>
        <w:rPr>
          <w:rFonts w:ascii="宋体" w:hAnsi="宋体" w:cs="宋体"/>
          <w:szCs w:val="28"/>
        </w:rPr>
      </w:pPr>
      <w:r>
        <w:rPr>
          <w:rFonts w:hint="eastAsia" w:ascii="宋体" w:hAnsi="宋体" w:cs="宋体"/>
          <w:szCs w:val="28"/>
        </w:rPr>
        <w:t>项目产生的废水主要是生活废水，生活污水经化粪池暂存后经污水管网系统收集后进入诸城市昌城污水处理厂进一步处理。</w:t>
      </w:r>
    </w:p>
    <w:p>
      <w:pPr>
        <w:adjustRightInd w:val="0"/>
        <w:snapToGrid w:val="0"/>
        <w:ind w:firstLine="560"/>
        <w:rPr>
          <w:rFonts w:ascii="宋体" w:hAnsi="宋体" w:cs="宋体"/>
          <w:szCs w:val="28"/>
        </w:rPr>
      </w:pPr>
      <w:r>
        <w:rPr>
          <w:rFonts w:hint="eastAsia" w:ascii="宋体" w:hAnsi="宋体" w:cs="宋体"/>
          <w:szCs w:val="28"/>
        </w:rPr>
        <w:t>项目对地下水产生影响的主要是化粪池及垃圾收集箱，该设施若发生渗漏，会对地下水造成一定程度的影响。化粪池采用防渗处理，生活垃圾集中拉走前，将收集在临时垃圾桶内，垃圾桶在做好防雨、防渗及密封工作前提下，对周围地下水影响较小。</w:t>
      </w:r>
    </w:p>
    <w:p>
      <w:pPr>
        <w:adjustRightInd w:val="0"/>
        <w:snapToGrid w:val="0"/>
        <w:ind w:firstLine="560"/>
        <w:rPr>
          <w:rFonts w:ascii="宋体" w:hAnsi="宋体" w:cs="宋体"/>
          <w:szCs w:val="28"/>
        </w:rPr>
      </w:pPr>
      <w:r>
        <w:rPr>
          <w:rFonts w:hint="eastAsia" w:ascii="宋体" w:hAnsi="宋体" w:cs="宋体"/>
          <w:szCs w:val="28"/>
        </w:rPr>
        <w:t>验收监测期间，污水总排口废水各污染物浓度均满足《污水排入城镇下水道水质标准》(GB／T 31962－2015)要求。</w:t>
      </w:r>
    </w:p>
    <w:p>
      <w:pPr>
        <w:pStyle w:val="7"/>
        <w:numPr>
          <w:ilvl w:val="2"/>
          <w:numId w:val="0"/>
        </w:numPr>
      </w:pPr>
      <w:r>
        <w:rPr>
          <w:rFonts w:hint="eastAsia"/>
        </w:rPr>
        <w:t>10.1.3</w:t>
      </w:r>
      <w:r>
        <w:t>固体废弃物</w:t>
      </w:r>
    </w:p>
    <w:p>
      <w:pPr>
        <w:pStyle w:val="6"/>
        <w:numPr>
          <w:ilvl w:val="1"/>
          <w:numId w:val="0"/>
        </w:numPr>
        <w:ind w:firstLine="560" w:firstLineChars="200"/>
        <w:rPr>
          <w:rFonts w:ascii="Times New Roman" w:hAnsi="Times New Roman" w:cs="Times New Roman"/>
          <w:b w:val="0"/>
          <w:szCs w:val="28"/>
        </w:rPr>
      </w:pPr>
      <w:r>
        <w:rPr>
          <w:rFonts w:ascii="Times New Roman" w:hAnsi="Times New Roman" w:cs="Times New Roman"/>
          <w:b w:val="0"/>
          <w:szCs w:val="28"/>
        </w:rPr>
        <w:t>项目建成后所产生的固体废物主要为生活垃圾和商业垃圾，由环卫部门统一清运，</w:t>
      </w:r>
      <w:r>
        <w:rPr>
          <w:rFonts w:ascii="Times New Roman" w:hAnsi="Times New Roman" w:cs="Times New Roman"/>
          <w:b w:val="0"/>
          <w:szCs w:val="28"/>
          <w:lang w:val="zh-CN"/>
        </w:rPr>
        <w:t>送往城市生活垃圾处理场集中处置。</w:t>
      </w:r>
      <w:r>
        <w:rPr>
          <w:rFonts w:ascii="Times New Roman" w:hAnsi="Times New Roman" w:cs="Times New Roman"/>
          <w:b w:val="0"/>
          <w:szCs w:val="28"/>
        </w:rPr>
        <w:t>垃圾集中拉走之前，将收集在临时垃圾</w:t>
      </w:r>
      <w:r>
        <w:rPr>
          <w:rFonts w:hint="eastAsia" w:ascii="Times New Roman" w:hAnsi="Times New Roman" w:cs="Times New Roman"/>
          <w:b w:val="0"/>
          <w:szCs w:val="28"/>
        </w:rPr>
        <w:t>桶</w:t>
      </w:r>
      <w:r>
        <w:rPr>
          <w:rFonts w:ascii="Times New Roman" w:hAnsi="Times New Roman" w:cs="Times New Roman"/>
          <w:b w:val="0"/>
          <w:szCs w:val="28"/>
        </w:rPr>
        <w:t>内，垃圾</w:t>
      </w:r>
      <w:r>
        <w:rPr>
          <w:rFonts w:hint="eastAsia" w:ascii="Times New Roman" w:hAnsi="Times New Roman" w:cs="Times New Roman"/>
          <w:b w:val="0"/>
          <w:szCs w:val="28"/>
        </w:rPr>
        <w:t>桶</w:t>
      </w:r>
      <w:r>
        <w:rPr>
          <w:rFonts w:ascii="Times New Roman" w:hAnsi="Times New Roman" w:cs="Times New Roman"/>
          <w:b w:val="0"/>
          <w:szCs w:val="28"/>
        </w:rPr>
        <w:t>做好防雨、防渗及密封工作，防止蚊蝇鼠害和异味的产生。</w:t>
      </w:r>
    </w:p>
    <w:p>
      <w:pPr>
        <w:pStyle w:val="6"/>
        <w:ind w:firstLine="0" w:firstLineChars="0"/>
        <w:rPr>
          <w:rFonts w:ascii="Times New Roman" w:hAnsi="Times New Roman" w:cs="Times New Roman"/>
          <w:szCs w:val="28"/>
        </w:rPr>
      </w:pPr>
      <w:bookmarkStart w:id="198" w:name="_Toc30007_WPSOffice_Level2"/>
      <w:bookmarkStart w:id="199" w:name="_Toc22691_WPSOffice_Level2"/>
      <w:r>
        <w:rPr>
          <w:rFonts w:hint="eastAsia" w:ascii="Times New Roman" w:hAnsi="Times New Roman" w:cs="Times New Roman"/>
          <w:szCs w:val="28"/>
        </w:rPr>
        <w:t>10.2</w:t>
      </w:r>
      <w:r>
        <w:rPr>
          <w:rFonts w:ascii="Times New Roman" w:hAnsi="Times New Roman" w:cs="Times New Roman"/>
          <w:szCs w:val="28"/>
        </w:rPr>
        <w:t>环境管理检查结论</w:t>
      </w:r>
      <w:bookmarkEnd w:id="198"/>
      <w:bookmarkEnd w:id="199"/>
      <w:r>
        <w:rPr>
          <w:rFonts w:ascii="Times New Roman" w:hAnsi="Times New Roman" w:cs="Times New Roman"/>
          <w:szCs w:val="28"/>
        </w:rPr>
        <w:t xml:space="preserve">                                               </w:t>
      </w:r>
    </w:p>
    <w:p>
      <w:pPr>
        <w:adjustRightInd w:val="0"/>
        <w:ind w:firstLine="560"/>
        <w:rPr>
          <w:rFonts w:ascii="宋体" w:hAnsi="宋体" w:cs="宋体"/>
          <w:szCs w:val="28"/>
        </w:rPr>
      </w:pPr>
      <w:r>
        <w:rPr>
          <w:rFonts w:hint="eastAsia" w:ascii="宋体" w:hAnsi="宋体" w:cs="宋体"/>
          <w:szCs w:val="28"/>
        </w:rPr>
        <w:t>该工程进行了环境影响评价，遵守了环境影响评价制度，环境影响登记表和环保初步设计等资料齐全。</w:t>
      </w:r>
    </w:p>
    <w:p>
      <w:pPr>
        <w:pStyle w:val="9"/>
        <w:ind w:firstLine="560"/>
        <w:rPr>
          <w:rFonts w:ascii="宋体" w:hAnsi="宋体" w:eastAsia="宋体" w:cs="宋体"/>
          <w:szCs w:val="28"/>
        </w:rPr>
      </w:pPr>
      <w:r>
        <w:rPr>
          <w:rFonts w:hint="eastAsia" w:ascii="宋体" w:hAnsi="宋体" w:eastAsia="宋体" w:cs="宋体"/>
          <w:spacing w:val="0"/>
          <w:szCs w:val="28"/>
        </w:rPr>
        <w:t>运行管理制度和环境管理制度基本满足日常工作需要。</w:t>
      </w:r>
    </w:p>
    <w:p>
      <w:pPr>
        <w:pStyle w:val="6"/>
        <w:ind w:firstLine="0" w:firstLineChars="0"/>
      </w:pPr>
      <w:bookmarkStart w:id="200" w:name="_Toc8715_WPSOffice_Level2"/>
      <w:bookmarkStart w:id="201" w:name="_Toc5686_WPSOffice_Level1"/>
      <w:r>
        <w:rPr>
          <w:rFonts w:hint="eastAsia"/>
        </w:rPr>
        <w:t>10.3</w:t>
      </w:r>
      <w:r>
        <w:t>验收总结论</w:t>
      </w:r>
      <w:bookmarkEnd w:id="200"/>
      <w:bookmarkEnd w:id="201"/>
    </w:p>
    <w:p>
      <w:pPr>
        <w:spacing w:line="520" w:lineRule="exact"/>
        <w:ind w:left="140" w:leftChars="50" w:firstLine="560"/>
        <w:rPr>
          <w:rFonts w:ascii="宋体" w:hAnsi="宋体" w:cs="宋体"/>
          <w:szCs w:val="28"/>
        </w:rPr>
        <w:sectPr>
          <w:pgSz w:w="11906" w:h="16838"/>
          <w:pgMar w:top="1440" w:right="1800" w:bottom="1440" w:left="1800" w:header="851" w:footer="992" w:gutter="0"/>
          <w:cols w:space="425" w:num="1"/>
          <w:docGrid w:type="lines" w:linePitch="312" w:charSpace="0"/>
        </w:sectPr>
      </w:pPr>
      <w:r>
        <w:rPr>
          <w:rFonts w:hint="eastAsia" w:ascii="宋体" w:hAnsi="宋体" w:cs="宋体"/>
          <w:szCs w:val="28"/>
        </w:rPr>
        <w:t>根据本次现场调查、监测分析结果可知，该项目执行了环境保护“三同时”制度，有关环保措施得到落实，外排污染物达到国家有关标准及有关要求，建议通过环保验收。</w:t>
      </w:r>
    </w:p>
    <w:p>
      <w:pPr>
        <w:pStyle w:val="5"/>
      </w:pPr>
      <w:bookmarkStart w:id="202" w:name="_Toc496542743"/>
      <w:bookmarkStart w:id="203" w:name="_Toc496547659"/>
      <w:bookmarkStart w:id="204" w:name="_Toc496544350"/>
      <w:bookmarkStart w:id="205" w:name="_Toc8418_WPSOffice_Level1"/>
      <w:bookmarkStart w:id="206" w:name="_Toc496547424"/>
      <w:bookmarkStart w:id="207" w:name="_Toc496544160"/>
      <w:bookmarkStart w:id="208" w:name="_Toc509998966"/>
      <w:bookmarkStart w:id="209" w:name="_Toc496547731"/>
      <w:bookmarkStart w:id="210" w:name="_Toc496544032"/>
      <w:bookmarkStart w:id="211" w:name="_Toc13722_WPSOffice_Level1"/>
      <w:r>
        <w:rPr>
          <w:rFonts w:hint="eastAsia"/>
        </w:rPr>
        <w:t>十一、建设项目环境保护“三同时”竣工验收登记表</w:t>
      </w:r>
      <w:bookmarkEnd w:id="202"/>
      <w:bookmarkEnd w:id="203"/>
      <w:bookmarkEnd w:id="204"/>
      <w:bookmarkEnd w:id="205"/>
      <w:bookmarkEnd w:id="206"/>
      <w:bookmarkEnd w:id="207"/>
      <w:bookmarkEnd w:id="208"/>
      <w:bookmarkEnd w:id="209"/>
      <w:bookmarkEnd w:id="210"/>
      <w:bookmarkEnd w:id="211"/>
    </w:p>
    <w:p>
      <w:pPr>
        <w:adjustRightInd w:val="0"/>
        <w:snapToGrid w:val="0"/>
        <w:spacing w:line="240" w:lineRule="auto"/>
        <w:ind w:firstLine="0" w:firstLineChars="0"/>
        <w:jc w:val="center"/>
        <w:rPr>
          <w:b/>
          <w:sz w:val="21"/>
          <w:szCs w:val="21"/>
        </w:rPr>
      </w:pPr>
      <w:bookmarkStart w:id="212" w:name="_Toc26567_WPSOffice_Level1"/>
      <w:bookmarkStart w:id="213" w:name="_Toc1244_WPSOffice_Level2"/>
      <w:bookmarkStart w:id="214" w:name="_Toc10612"/>
      <w:bookmarkStart w:id="215" w:name="_Toc12873_WPSOffice_Level2"/>
      <w:bookmarkStart w:id="216" w:name="_Toc25707_WPSOffice_Level2"/>
      <w:bookmarkStart w:id="217" w:name="_Toc28854_WPSOffice_Level2"/>
      <w:bookmarkStart w:id="218" w:name="_Toc9816_WPSOffice_Level2"/>
      <w:r>
        <w:rPr>
          <w:rFonts w:hint="eastAsia"/>
          <w:b/>
          <w:sz w:val="21"/>
          <w:szCs w:val="21"/>
        </w:rPr>
        <w:t>建设项目竣工环境保护“三同时”验收登记表</w:t>
      </w:r>
      <w:bookmarkEnd w:id="212"/>
      <w:bookmarkEnd w:id="213"/>
      <w:bookmarkEnd w:id="214"/>
      <w:bookmarkEnd w:id="215"/>
      <w:bookmarkEnd w:id="216"/>
      <w:bookmarkEnd w:id="217"/>
      <w:bookmarkEnd w:id="218"/>
    </w:p>
    <w:p>
      <w:pPr>
        <w:adjustRightInd w:val="0"/>
        <w:snapToGrid w:val="0"/>
        <w:spacing w:line="240" w:lineRule="auto"/>
        <w:ind w:firstLine="0" w:firstLineChars="0"/>
        <w:rPr>
          <w:sz w:val="18"/>
          <w:szCs w:val="18"/>
        </w:rPr>
      </w:pPr>
      <w:bookmarkStart w:id="219" w:name="_Toc11256"/>
      <w:r>
        <w:rPr>
          <w:rFonts w:hint="eastAsia"/>
          <w:sz w:val="18"/>
          <w:szCs w:val="18"/>
        </w:rPr>
        <w:t>填表单位（盖章）：                         填表人（签字）：                        项目经办人（签字）：</w:t>
      </w:r>
      <w:bookmarkEnd w:id="219"/>
    </w:p>
    <w:tbl>
      <w:tblPr>
        <w:tblStyle w:val="19"/>
        <w:tblW w:w="15700"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26"/>
        <w:gridCol w:w="132"/>
        <w:gridCol w:w="1809"/>
        <w:gridCol w:w="1102"/>
        <w:gridCol w:w="1103"/>
        <w:gridCol w:w="111"/>
        <w:gridCol w:w="60"/>
        <w:gridCol w:w="210"/>
        <w:gridCol w:w="727"/>
        <w:gridCol w:w="113"/>
        <w:gridCol w:w="270"/>
        <w:gridCol w:w="315"/>
        <w:gridCol w:w="399"/>
        <w:gridCol w:w="141"/>
        <w:gridCol w:w="961"/>
        <w:gridCol w:w="1102"/>
        <w:gridCol w:w="217"/>
        <w:gridCol w:w="1066"/>
        <w:gridCol w:w="922"/>
        <w:gridCol w:w="277"/>
        <w:gridCol w:w="495"/>
        <w:gridCol w:w="466"/>
        <w:gridCol w:w="555"/>
        <w:gridCol w:w="413"/>
        <w:gridCol w:w="350"/>
        <w:gridCol w:w="752"/>
        <w:gridCol w:w="110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55" w:hRule="atLeast"/>
          <w:jc w:val="center"/>
        </w:trPr>
        <w:tc>
          <w:tcPr>
            <w:tcW w:w="526" w:type="dxa"/>
            <w:vMerge w:val="restart"/>
            <w:vAlign w:val="center"/>
          </w:tcPr>
          <w:p>
            <w:pPr>
              <w:adjustRightInd w:val="0"/>
              <w:snapToGrid w:val="0"/>
              <w:spacing w:line="240" w:lineRule="auto"/>
              <w:ind w:firstLine="0" w:firstLineChars="0"/>
              <w:rPr>
                <w:b/>
                <w:sz w:val="18"/>
                <w:szCs w:val="18"/>
              </w:rPr>
            </w:pPr>
            <w:r>
              <w:rPr>
                <w:rFonts w:hint="eastAsia"/>
                <w:b/>
                <w:sz w:val="18"/>
                <w:szCs w:val="18"/>
              </w:rPr>
              <w:t>建</w:t>
            </w:r>
          </w:p>
          <w:p>
            <w:pPr>
              <w:adjustRightInd w:val="0"/>
              <w:snapToGrid w:val="0"/>
              <w:spacing w:line="240" w:lineRule="auto"/>
              <w:ind w:firstLine="0" w:firstLineChars="0"/>
              <w:rPr>
                <w:b/>
                <w:sz w:val="18"/>
                <w:szCs w:val="18"/>
              </w:rPr>
            </w:pPr>
          </w:p>
          <w:p>
            <w:pPr>
              <w:adjustRightInd w:val="0"/>
              <w:snapToGrid w:val="0"/>
              <w:spacing w:line="240" w:lineRule="auto"/>
              <w:ind w:firstLine="0" w:firstLineChars="0"/>
              <w:rPr>
                <w:b/>
                <w:sz w:val="18"/>
                <w:szCs w:val="18"/>
              </w:rPr>
            </w:pPr>
          </w:p>
          <w:p>
            <w:pPr>
              <w:adjustRightInd w:val="0"/>
              <w:snapToGrid w:val="0"/>
              <w:spacing w:line="240" w:lineRule="auto"/>
              <w:ind w:firstLine="0" w:firstLineChars="0"/>
              <w:rPr>
                <w:b/>
                <w:sz w:val="18"/>
                <w:szCs w:val="18"/>
              </w:rPr>
            </w:pPr>
            <w:r>
              <w:rPr>
                <w:rFonts w:hint="eastAsia"/>
                <w:b/>
                <w:sz w:val="18"/>
                <w:szCs w:val="18"/>
              </w:rPr>
              <w:t>设</w:t>
            </w:r>
          </w:p>
          <w:p>
            <w:pPr>
              <w:adjustRightInd w:val="0"/>
              <w:snapToGrid w:val="0"/>
              <w:spacing w:line="240" w:lineRule="auto"/>
              <w:ind w:firstLine="0" w:firstLineChars="0"/>
              <w:rPr>
                <w:b/>
                <w:sz w:val="18"/>
                <w:szCs w:val="18"/>
              </w:rPr>
            </w:pPr>
          </w:p>
          <w:p>
            <w:pPr>
              <w:adjustRightInd w:val="0"/>
              <w:snapToGrid w:val="0"/>
              <w:spacing w:line="240" w:lineRule="auto"/>
              <w:ind w:firstLine="0" w:firstLineChars="0"/>
              <w:rPr>
                <w:b/>
                <w:sz w:val="18"/>
                <w:szCs w:val="18"/>
              </w:rPr>
            </w:pPr>
          </w:p>
          <w:p>
            <w:pPr>
              <w:adjustRightInd w:val="0"/>
              <w:snapToGrid w:val="0"/>
              <w:spacing w:line="240" w:lineRule="auto"/>
              <w:ind w:firstLine="0" w:firstLineChars="0"/>
              <w:rPr>
                <w:b/>
                <w:sz w:val="18"/>
                <w:szCs w:val="18"/>
              </w:rPr>
            </w:pPr>
            <w:r>
              <w:rPr>
                <w:rFonts w:hint="eastAsia"/>
                <w:b/>
                <w:sz w:val="18"/>
                <w:szCs w:val="18"/>
              </w:rPr>
              <w:t>项</w:t>
            </w:r>
          </w:p>
          <w:p>
            <w:pPr>
              <w:adjustRightInd w:val="0"/>
              <w:snapToGrid w:val="0"/>
              <w:spacing w:line="240" w:lineRule="auto"/>
              <w:ind w:firstLine="0" w:firstLineChars="0"/>
              <w:rPr>
                <w:b/>
                <w:sz w:val="18"/>
                <w:szCs w:val="18"/>
              </w:rPr>
            </w:pPr>
          </w:p>
          <w:p>
            <w:pPr>
              <w:adjustRightInd w:val="0"/>
              <w:snapToGrid w:val="0"/>
              <w:spacing w:line="240" w:lineRule="auto"/>
              <w:ind w:firstLine="0" w:firstLineChars="0"/>
              <w:rPr>
                <w:b/>
                <w:sz w:val="18"/>
                <w:szCs w:val="18"/>
              </w:rPr>
            </w:pPr>
          </w:p>
          <w:p>
            <w:pPr>
              <w:adjustRightInd w:val="0"/>
              <w:snapToGrid w:val="0"/>
              <w:spacing w:line="240" w:lineRule="auto"/>
              <w:ind w:firstLine="0" w:firstLineChars="0"/>
              <w:rPr>
                <w:b/>
                <w:sz w:val="18"/>
                <w:szCs w:val="18"/>
              </w:rPr>
            </w:pPr>
            <w:r>
              <w:rPr>
                <w:rFonts w:hint="eastAsia"/>
                <w:b/>
                <w:sz w:val="18"/>
                <w:szCs w:val="18"/>
              </w:rPr>
              <w:t>目</w:t>
            </w:r>
          </w:p>
        </w:tc>
        <w:tc>
          <w:tcPr>
            <w:tcW w:w="1941"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项目名称*</w:t>
            </w:r>
          </w:p>
        </w:tc>
        <w:tc>
          <w:tcPr>
            <w:tcW w:w="5512" w:type="dxa"/>
            <w:gridSpan w:val="12"/>
            <w:vAlign w:val="center"/>
          </w:tcPr>
          <w:p>
            <w:pPr>
              <w:adjustRightInd w:val="0"/>
              <w:snapToGrid w:val="0"/>
              <w:spacing w:line="240" w:lineRule="auto"/>
              <w:ind w:firstLine="0" w:firstLineChars="0"/>
              <w:jc w:val="center"/>
              <w:rPr>
                <w:b/>
                <w:sz w:val="18"/>
                <w:szCs w:val="18"/>
              </w:rPr>
            </w:pPr>
            <w:r>
              <w:rPr>
                <w:rFonts w:hint="eastAsia"/>
                <w:b/>
                <w:color w:val="000000" w:themeColor="text1"/>
                <w:sz w:val="18"/>
                <w:szCs w:val="18"/>
                <w14:textFill>
                  <w14:solidFill>
                    <w14:schemeClr w14:val="tx1"/>
                  </w14:solidFill>
                </w14:textFill>
              </w:rPr>
              <w:t>万汇</w:t>
            </w:r>
            <w:r>
              <w:rPr>
                <w:rFonts w:hint="eastAsia" w:ascii="宋体" w:hAnsi="宋体" w:cs="宋体"/>
                <w:b/>
                <w:color w:val="000000" w:themeColor="text1"/>
                <w:sz w:val="18"/>
                <w:szCs w:val="18"/>
                <w14:textFill>
                  <w14:solidFill>
                    <w14:schemeClr w14:val="tx1"/>
                  </w14:solidFill>
                </w14:textFill>
              </w:rPr>
              <w:t>·</w:t>
            </w:r>
            <w:r>
              <w:rPr>
                <w:rFonts w:hint="eastAsia"/>
                <w:b/>
                <w:color w:val="000000" w:themeColor="text1"/>
                <w:sz w:val="18"/>
                <w:szCs w:val="18"/>
                <w14:textFill>
                  <w14:solidFill>
                    <w14:schemeClr w14:val="tx1"/>
                  </w14:solidFill>
                </w14:textFill>
              </w:rPr>
              <w:t>滨河花园小区项目</w:t>
            </w:r>
          </w:p>
        </w:tc>
        <w:tc>
          <w:tcPr>
            <w:tcW w:w="2385" w:type="dxa"/>
            <w:gridSpan w:val="3"/>
            <w:vAlign w:val="center"/>
          </w:tcPr>
          <w:p>
            <w:pPr>
              <w:adjustRightInd w:val="0"/>
              <w:snapToGrid w:val="0"/>
              <w:spacing w:line="240" w:lineRule="auto"/>
              <w:ind w:firstLine="0" w:firstLineChars="0"/>
              <w:jc w:val="center"/>
              <w:rPr>
                <w:b/>
                <w:sz w:val="21"/>
                <w:szCs w:val="21"/>
              </w:rPr>
            </w:pPr>
            <w:r>
              <w:rPr>
                <w:rFonts w:hint="eastAsia"/>
                <w:b/>
                <w:sz w:val="21"/>
                <w:szCs w:val="21"/>
              </w:rPr>
              <w:t>建设地点*</w:t>
            </w:r>
          </w:p>
        </w:tc>
        <w:tc>
          <w:tcPr>
            <w:tcW w:w="5336" w:type="dxa"/>
            <w:gridSpan w:val="9"/>
            <w:vAlign w:val="center"/>
          </w:tcPr>
          <w:p>
            <w:pPr>
              <w:adjustRightInd w:val="0"/>
              <w:snapToGrid w:val="0"/>
              <w:spacing w:line="240" w:lineRule="auto"/>
              <w:ind w:firstLine="0" w:firstLineChars="0"/>
              <w:jc w:val="center"/>
              <w:rPr>
                <w:b/>
                <w:sz w:val="21"/>
                <w:szCs w:val="21"/>
              </w:rPr>
            </w:pPr>
            <w:r>
              <w:rPr>
                <w:rFonts w:hint="eastAsia" w:ascii="宋体" w:hAnsi="宋体" w:cs="宋体"/>
                <w:b/>
                <w:sz w:val="21"/>
                <w:szCs w:val="21"/>
              </w:rPr>
              <w:t>诸城市昌城镇得利斯大道西首北侧咸家河岔村东侧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55" w:hRule="atLeast"/>
          <w:jc w:val="center"/>
        </w:trPr>
        <w:tc>
          <w:tcPr>
            <w:tcW w:w="526" w:type="dxa"/>
            <w:vMerge w:val="continue"/>
            <w:vAlign w:val="center"/>
          </w:tcPr>
          <w:p>
            <w:pPr>
              <w:adjustRightInd w:val="0"/>
              <w:snapToGrid w:val="0"/>
              <w:spacing w:line="240" w:lineRule="auto"/>
              <w:ind w:firstLine="0" w:firstLineChars="0"/>
              <w:rPr>
                <w:b/>
                <w:sz w:val="18"/>
                <w:szCs w:val="18"/>
              </w:rPr>
            </w:pPr>
          </w:p>
        </w:tc>
        <w:tc>
          <w:tcPr>
            <w:tcW w:w="1941"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行业类别*</w:t>
            </w:r>
          </w:p>
        </w:tc>
        <w:tc>
          <w:tcPr>
            <w:tcW w:w="5512" w:type="dxa"/>
            <w:gridSpan w:val="12"/>
            <w:vAlign w:val="center"/>
          </w:tcPr>
          <w:p>
            <w:pPr>
              <w:adjustRightInd w:val="0"/>
              <w:snapToGrid w:val="0"/>
              <w:spacing w:line="240" w:lineRule="auto"/>
              <w:ind w:firstLine="0" w:firstLineChars="0"/>
              <w:jc w:val="center"/>
              <w:rPr>
                <w:b/>
                <w:sz w:val="18"/>
                <w:szCs w:val="18"/>
              </w:rPr>
            </w:pPr>
            <w:r>
              <w:rPr>
                <w:rFonts w:hint="eastAsia"/>
                <w:b/>
                <w:color w:val="000000" w:themeColor="text1"/>
                <w:sz w:val="18"/>
                <w:szCs w:val="18"/>
                <w14:textFill>
                  <w14:solidFill>
                    <w14:schemeClr w14:val="tx1"/>
                  </w14:solidFill>
                </w14:textFill>
              </w:rPr>
              <w:t>房地产开发经营(K7010)</w:t>
            </w:r>
          </w:p>
        </w:tc>
        <w:tc>
          <w:tcPr>
            <w:tcW w:w="2385"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建设性质*</w:t>
            </w:r>
          </w:p>
        </w:tc>
        <w:tc>
          <w:tcPr>
            <w:tcW w:w="5336" w:type="dxa"/>
            <w:gridSpan w:val="9"/>
            <w:vAlign w:val="center"/>
          </w:tcPr>
          <w:p>
            <w:pPr>
              <w:adjustRightInd w:val="0"/>
              <w:snapToGrid w:val="0"/>
              <w:spacing w:line="240" w:lineRule="auto"/>
              <w:ind w:firstLine="0" w:firstLineChars="0"/>
              <w:jc w:val="center"/>
              <w:rPr>
                <w:b/>
                <w:sz w:val="18"/>
                <w:szCs w:val="18"/>
              </w:rPr>
            </w:pPr>
            <w:r>
              <w:rPr>
                <w:rFonts w:hint="eastAsia"/>
                <w:b/>
                <w:sz w:val="18"/>
                <w:szCs w:val="18"/>
              </w:rPr>
              <w:t>新建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308" w:hRule="atLeast"/>
          <w:jc w:val="center"/>
        </w:trPr>
        <w:tc>
          <w:tcPr>
            <w:tcW w:w="526" w:type="dxa"/>
            <w:vMerge w:val="continue"/>
            <w:vAlign w:val="center"/>
          </w:tcPr>
          <w:p>
            <w:pPr>
              <w:adjustRightInd w:val="0"/>
              <w:snapToGrid w:val="0"/>
              <w:spacing w:line="240" w:lineRule="auto"/>
              <w:ind w:firstLine="0" w:firstLineChars="0"/>
              <w:rPr>
                <w:b/>
                <w:sz w:val="18"/>
                <w:szCs w:val="18"/>
              </w:rPr>
            </w:pPr>
          </w:p>
        </w:tc>
        <w:tc>
          <w:tcPr>
            <w:tcW w:w="1941"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设计生产能力</w:t>
            </w:r>
          </w:p>
        </w:tc>
        <w:tc>
          <w:tcPr>
            <w:tcW w:w="2205"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w:t>
            </w:r>
          </w:p>
        </w:tc>
        <w:tc>
          <w:tcPr>
            <w:tcW w:w="1806" w:type="dxa"/>
            <w:gridSpan w:val="7"/>
            <w:vAlign w:val="center"/>
          </w:tcPr>
          <w:p>
            <w:pPr>
              <w:adjustRightInd w:val="0"/>
              <w:snapToGrid w:val="0"/>
              <w:spacing w:line="240" w:lineRule="auto"/>
              <w:ind w:firstLine="0" w:firstLineChars="0"/>
              <w:jc w:val="center"/>
              <w:rPr>
                <w:b/>
                <w:sz w:val="18"/>
                <w:szCs w:val="18"/>
              </w:rPr>
            </w:pPr>
            <w:r>
              <w:rPr>
                <w:rFonts w:hint="eastAsia"/>
                <w:b/>
                <w:sz w:val="18"/>
                <w:szCs w:val="18"/>
              </w:rPr>
              <w:t>建设项目开工日期</w:t>
            </w:r>
          </w:p>
        </w:tc>
        <w:tc>
          <w:tcPr>
            <w:tcW w:w="1501" w:type="dxa"/>
            <w:gridSpan w:val="3"/>
            <w:vAlign w:val="center"/>
          </w:tcPr>
          <w:p>
            <w:pPr>
              <w:adjustRightInd w:val="0"/>
              <w:snapToGrid w:val="0"/>
              <w:spacing w:line="240" w:lineRule="auto"/>
              <w:ind w:firstLine="0" w:firstLineChars="0"/>
              <w:jc w:val="center"/>
              <w:rPr>
                <w:b/>
                <w:sz w:val="18"/>
                <w:szCs w:val="18"/>
              </w:rPr>
            </w:pPr>
            <w:r>
              <w:rPr>
                <w:rFonts w:hint="eastAsia"/>
                <w:b/>
                <w:color w:val="000000" w:themeColor="text1"/>
                <w:sz w:val="18"/>
                <w:szCs w:val="18"/>
                <w14:textFill>
                  <w14:solidFill>
                    <w14:schemeClr w14:val="tx1"/>
                  </w14:solidFill>
                </w14:textFill>
              </w:rPr>
              <w:t>2009年12月</w:t>
            </w:r>
          </w:p>
        </w:tc>
        <w:tc>
          <w:tcPr>
            <w:tcW w:w="2385"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实际生成能力</w:t>
            </w:r>
          </w:p>
        </w:tc>
        <w:tc>
          <w:tcPr>
            <w:tcW w:w="2160" w:type="dxa"/>
            <w:gridSpan w:val="4"/>
            <w:vAlign w:val="center"/>
          </w:tcPr>
          <w:p>
            <w:pPr>
              <w:adjustRightInd w:val="0"/>
              <w:snapToGrid w:val="0"/>
              <w:spacing w:line="240" w:lineRule="auto"/>
              <w:ind w:firstLine="0" w:firstLineChars="0"/>
              <w:jc w:val="center"/>
              <w:rPr>
                <w:b/>
                <w:sz w:val="18"/>
                <w:szCs w:val="18"/>
              </w:rPr>
            </w:pPr>
            <w:r>
              <w:rPr>
                <w:rFonts w:hint="eastAsia"/>
                <w:b/>
                <w:sz w:val="18"/>
                <w:szCs w:val="18"/>
              </w:rPr>
              <w:t>/</w:t>
            </w:r>
          </w:p>
        </w:tc>
        <w:tc>
          <w:tcPr>
            <w:tcW w:w="1318"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投入试运行日期</w:t>
            </w:r>
          </w:p>
        </w:tc>
        <w:tc>
          <w:tcPr>
            <w:tcW w:w="1858"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2014年1月</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55" w:hRule="atLeast"/>
          <w:jc w:val="center"/>
        </w:trPr>
        <w:tc>
          <w:tcPr>
            <w:tcW w:w="526" w:type="dxa"/>
            <w:vMerge w:val="continue"/>
            <w:vAlign w:val="center"/>
          </w:tcPr>
          <w:p>
            <w:pPr>
              <w:adjustRightInd w:val="0"/>
              <w:snapToGrid w:val="0"/>
              <w:spacing w:line="240" w:lineRule="auto"/>
              <w:ind w:firstLine="0" w:firstLineChars="0"/>
              <w:rPr>
                <w:b/>
                <w:sz w:val="18"/>
                <w:szCs w:val="18"/>
              </w:rPr>
            </w:pPr>
          </w:p>
        </w:tc>
        <w:tc>
          <w:tcPr>
            <w:tcW w:w="1941"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投资总概算（万元）*</w:t>
            </w:r>
          </w:p>
        </w:tc>
        <w:tc>
          <w:tcPr>
            <w:tcW w:w="5512" w:type="dxa"/>
            <w:gridSpan w:val="12"/>
            <w:vAlign w:val="center"/>
          </w:tcPr>
          <w:p>
            <w:pPr>
              <w:adjustRightInd w:val="0"/>
              <w:snapToGrid w:val="0"/>
              <w:spacing w:line="240" w:lineRule="auto"/>
              <w:ind w:firstLine="0" w:firstLineChars="0"/>
              <w:jc w:val="center"/>
              <w:rPr>
                <w:b/>
                <w:sz w:val="18"/>
                <w:szCs w:val="18"/>
              </w:rPr>
            </w:pPr>
            <w:r>
              <w:rPr>
                <w:rFonts w:hint="eastAsia"/>
                <w:b/>
                <w:sz w:val="18"/>
                <w:szCs w:val="18"/>
              </w:rPr>
              <w:t>3500</w:t>
            </w:r>
          </w:p>
        </w:tc>
        <w:tc>
          <w:tcPr>
            <w:tcW w:w="2385"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环保投资总概算（万元）*</w:t>
            </w:r>
          </w:p>
        </w:tc>
        <w:tc>
          <w:tcPr>
            <w:tcW w:w="2160" w:type="dxa"/>
            <w:gridSpan w:val="4"/>
            <w:vAlign w:val="center"/>
          </w:tcPr>
          <w:p>
            <w:pPr>
              <w:adjustRightInd w:val="0"/>
              <w:snapToGrid w:val="0"/>
              <w:spacing w:line="240" w:lineRule="auto"/>
              <w:ind w:firstLine="0" w:firstLineChars="0"/>
              <w:jc w:val="center"/>
              <w:rPr>
                <w:b/>
                <w:sz w:val="18"/>
                <w:szCs w:val="18"/>
              </w:rPr>
            </w:pPr>
            <w:r>
              <w:rPr>
                <w:rFonts w:hint="eastAsia"/>
                <w:b/>
                <w:color w:val="000000" w:themeColor="text1"/>
                <w:sz w:val="18"/>
                <w:szCs w:val="18"/>
                <w14:textFill>
                  <w14:solidFill>
                    <w14:schemeClr w14:val="tx1"/>
                  </w14:solidFill>
                </w14:textFill>
              </w:rPr>
              <w:t>400</w:t>
            </w:r>
          </w:p>
        </w:tc>
        <w:tc>
          <w:tcPr>
            <w:tcW w:w="1318"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所占比例（%）</w:t>
            </w:r>
          </w:p>
        </w:tc>
        <w:tc>
          <w:tcPr>
            <w:tcW w:w="1858"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11.4%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368" w:hRule="atLeast"/>
          <w:jc w:val="center"/>
        </w:trPr>
        <w:tc>
          <w:tcPr>
            <w:tcW w:w="526" w:type="dxa"/>
            <w:vMerge w:val="continue"/>
            <w:vAlign w:val="center"/>
          </w:tcPr>
          <w:p>
            <w:pPr>
              <w:adjustRightInd w:val="0"/>
              <w:snapToGrid w:val="0"/>
              <w:spacing w:line="240" w:lineRule="auto"/>
              <w:ind w:firstLine="0" w:firstLineChars="0"/>
              <w:rPr>
                <w:b/>
                <w:sz w:val="18"/>
                <w:szCs w:val="18"/>
              </w:rPr>
            </w:pPr>
          </w:p>
        </w:tc>
        <w:tc>
          <w:tcPr>
            <w:tcW w:w="1941"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环评审批部门*</w:t>
            </w:r>
          </w:p>
        </w:tc>
        <w:tc>
          <w:tcPr>
            <w:tcW w:w="5512" w:type="dxa"/>
            <w:gridSpan w:val="12"/>
            <w:vAlign w:val="center"/>
          </w:tcPr>
          <w:p>
            <w:pPr>
              <w:adjustRightInd w:val="0"/>
              <w:snapToGrid w:val="0"/>
              <w:spacing w:line="240" w:lineRule="auto"/>
              <w:ind w:firstLine="0" w:firstLineChars="0"/>
              <w:jc w:val="center"/>
              <w:rPr>
                <w:b/>
                <w:sz w:val="18"/>
                <w:szCs w:val="18"/>
              </w:rPr>
            </w:pPr>
            <w:r>
              <w:rPr>
                <w:rFonts w:hint="eastAsia"/>
                <w:b/>
                <w:sz w:val="18"/>
                <w:szCs w:val="18"/>
              </w:rPr>
              <w:t>/</w:t>
            </w:r>
          </w:p>
        </w:tc>
        <w:tc>
          <w:tcPr>
            <w:tcW w:w="2385"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批准文号*</w:t>
            </w:r>
          </w:p>
        </w:tc>
        <w:tc>
          <w:tcPr>
            <w:tcW w:w="2160" w:type="dxa"/>
            <w:gridSpan w:val="4"/>
            <w:vAlign w:val="center"/>
          </w:tcPr>
          <w:p>
            <w:pPr>
              <w:adjustRightInd w:val="0"/>
              <w:snapToGrid w:val="0"/>
              <w:spacing w:line="240" w:lineRule="auto"/>
              <w:ind w:firstLine="0" w:firstLineChars="0"/>
              <w:jc w:val="center"/>
              <w:rPr>
                <w:b/>
                <w:sz w:val="18"/>
                <w:szCs w:val="18"/>
              </w:rPr>
            </w:pPr>
            <w:r>
              <w:rPr>
                <w:rFonts w:hint="eastAsia"/>
                <w:b/>
                <w:color w:val="000000" w:themeColor="text1"/>
                <w:sz w:val="18"/>
                <w:szCs w:val="18"/>
                <w14:textFill>
                  <w14:solidFill>
                    <w14:schemeClr w14:val="tx1"/>
                  </w14:solidFill>
                </w14:textFill>
              </w:rPr>
              <w:t>/</w:t>
            </w:r>
          </w:p>
        </w:tc>
        <w:tc>
          <w:tcPr>
            <w:tcW w:w="1318"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批准时间*</w:t>
            </w:r>
          </w:p>
        </w:tc>
        <w:tc>
          <w:tcPr>
            <w:tcW w:w="1858" w:type="dxa"/>
            <w:gridSpan w:val="2"/>
            <w:vAlign w:val="center"/>
          </w:tcPr>
          <w:p>
            <w:pPr>
              <w:adjustRightInd w:val="0"/>
              <w:snapToGrid w:val="0"/>
              <w:spacing w:line="240" w:lineRule="auto"/>
              <w:ind w:firstLine="0" w:firstLineChars="0"/>
              <w:jc w:val="center"/>
              <w:rPr>
                <w:b/>
                <w:sz w:val="18"/>
                <w:szCs w:val="18"/>
              </w:rPr>
            </w:pPr>
            <w:r>
              <w:rPr>
                <w:rFonts w:hint="eastAsia"/>
                <w:b/>
                <w:color w:val="000000" w:themeColor="text1"/>
                <w:sz w:val="18"/>
                <w:szCs w:val="18"/>
                <w14:textFill>
                  <w14:solidFill>
                    <w14:schemeClr w14:val="tx1"/>
                  </w14:solidFill>
                </w14:textFill>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55" w:hRule="atLeast"/>
          <w:jc w:val="center"/>
        </w:trPr>
        <w:tc>
          <w:tcPr>
            <w:tcW w:w="526" w:type="dxa"/>
            <w:vMerge w:val="continue"/>
            <w:vAlign w:val="center"/>
          </w:tcPr>
          <w:p>
            <w:pPr>
              <w:adjustRightInd w:val="0"/>
              <w:snapToGrid w:val="0"/>
              <w:spacing w:line="240" w:lineRule="auto"/>
              <w:ind w:firstLine="0" w:firstLineChars="0"/>
              <w:rPr>
                <w:b/>
                <w:sz w:val="18"/>
                <w:szCs w:val="18"/>
              </w:rPr>
            </w:pPr>
          </w:p>
        </w:tc>
        <w:tc>
          <w:tcPr>
            <w:tcW w:w="1941"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初步设计审批部门</w:t>
            </w:r>
          </w:p>
        </w:tc>
        <w:tc>
          <w:tcPr>
            <w:tcW w:w="5512" w:type="dxa"/>
            <w:gridSpan w:val="12"/>
            <w:vAlign w:val="center"/>
          </w:tcPr>
          <w:p>
            <w:pPr>
              <w:adjustRightInd w:val="0"/>
              <w:snapToGrid w:val="0"/>
              <w:spacing w:line="240" w:lineRule="auto"/>
              <w:ind w:firstLine="0" w:firstLineChars="0"/>
              <w:jc w:val="center"/>
              <w:rPr>
                <w:b/>
                <w:sz w:val="18"/>
                <w:szCs w:val="18"/>
              </w:rPr>
            </w:pPr>
            <w:r>
              <w:rPr>
                <w:rFonts w:hint="eastAsia"/>
                <w:b/>
                <w:sz w:val="18"/>
                <w:szCs w:val="18"/>
              </w:rPr>
              <w:t>/</w:t>
            </w:r>
          </w:p>
        </w:tc>
        <w:tc>
          <w:tcPr>
            <w:tcW w:w="2385"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批准文号</w:t>
            </w:r>
          </w:p>
        </w:tc>
        <w:tc>
          <w:tcPr>
            <w:tcW w:w="2160" w:type="dxa"/>
            <w:gridSpan w:val="4"/>
            <w:vAlign w:val="center"/>
          </w:tcPr>
          <w:p>
            <w:pPr>
              <w:adjustRightInd w:val="0"/>
              <w:snapToGrid w:val="0"/>
              <w:spacing w:line="240" w:lineRule="auto"/>
              <w:ind w:firstLine="0" w:firstLineChars="0"/>
              <w:jc w:val="center"/>
              <w:rPr>
                <w:b/>
                <w:sz w:val="18"/>
                <w:szCs w:val="18"/>
              </w:rPr>
            </w:pPr>
            <w:r>
              <w:rPr>
                <w:rFonts w:hint="eastAsia"/>
                <w:b/>
                <w:sz w:val="18"/>
                <w:szCs w:val="18"/>
              </w:rPr>
              <w:t>/</w:t>
            </w:r>
          </w:p>
        </w:tc>
        <w:tc>
          <w:tcPr>
            <w:tcW w:w="1318"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批准时间</w:t>
            </w:r>
          </w:p>
        </w:tc>
        <w:tc>
          <w:tcPr>
            <w:tcW w:w="1858"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55" w:hRule="atLeast"/>
          <w:jc w:val="center"/>
        </w:trPr>
        <w:tc>
          <w:tcPr>
            <w:tcW w:w="526" w:type="dxa"/>
            <w:vMerge w:val="continue"/>
            <w:vAlign w:val="center"/>
          </w:tcPr>
          <w:p>
            <w:pPr>
              <w:adjustRightInd w:val="0"/>
              <w:snapToGrid w:val="0"/>
              <w:spacing w:line="240" w:lineRule="auto"/>
              <w:ind w:firstLine="0" w:firstLineChars="0"/>
              <w:rPr>
                <w:b/>
                <w:sz w:val="18"/>
                <w:szCs w:val="18"/>
              </w:rPr>
            </w:pPr>
          </w:p>
        </w:tc>
        <w:tc>
          <w:tcPr>
            <w:tcW w:w="1941"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环保验收审批部门</w:t>
            </w:r>
          </w:p>
        </w:tc>
        <w:tc>
          <w:tcPr>
            <w:tcW w:w="5512" w:type="dxa"/>
            <w:gridSpan w:val="12"/>
            <w:vAlign w:val="center"/>
          </w:tcPr>
          <w:p>
            <w:pPr>
              <w:adjustRightInd w:val="0"/>
              <w:snapToGrid w:val="0"/>
              <w:spacing w:line="240" w:lineRule="auto"/>
              <w:ind w:firstLine="0" w:firstLineChars="0"/>
              <w:jc w:val="center"/>
              <w:rPr>
                <w:b/>
                <w:sz w:val="18"/>
                <w:szCs w:val="18"/>
              </w:rPr>
            </w:pPr>
            <w:r>
              <w:rPr>
                <w:rFonts w:hint="eastAsia"/>
                <w:b/>
                <w:sz w:val="18"/>
                <w:szCs w:val="18"/>
              </w:rPr>
              <w:t>/</w:t>
            </w:r>
          </w:p>
        </w:tc>
        <w:tc>
          <w:tcPr>
            <w:tcW w:w="2385"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批准文号</w:t>
            </w:r>
          </w:p>
        </w:tc>
        <w:tc>
          <w:tcPr>
            <w:tcW w:w="2160" w:type="dxa"/>
            <w:gridSpan w:val="4"/>
            <w:vAlign w:val="center"/>
          </w:tcPr>
          <w:p>
            <w:pPr>
              <w:adjustRightInd w:val="0"/>
              <w:snapToGrid w:val="0"/>
              <w:spacing w:line="240" w:lineRule="auto"/>
              <w:ind w:firstLine="0" w:firstLineChars="0"/>
              <w:jc w:val="center"/>
              <w:rPr>
                <w:b/>
                <w:sz w:val="18"/>
                <w:szCs w:val="18"/>
              </w:rPr>
            </w:pPr>
            <w:r>
              <w:rPr>
                <w:rFonts w:hint="eastAsia"/>
                <w:b/>
                <w:sz w:val="18"/>
                <w:szCs w:val="18"/>
              </w:rPr>
              <w:t>/</w:t>
            </w:r>
          </w:p>
        </w:tc>
        <w:tc>
          <w:tcPr>
            <w:tcW w:w="1318"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批准时间</w:t>
            </w:r>
          </w:p>
        </w:tc>
        <w:tc>
          <w:tcPr>
            <w:tcW w:w="1858"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55" w:hRule="atLeast"/>
          <w:jc w:val="center"/>
        </w:trPr>
        <w:tc>
          <w:tcPr>
            <w:tcW w:w="526" w:type="dxa"/>
            <w:vMerge w:val="continue"/>
            <w:vAlign w:val="center"/>
          </w:tcPr>
          <w:p>
            <w:pPr>
              <w:adjustRightInd w:val="0"/>
              <w:snapToGrid w:val="0"/>
              <w:spacing w:line="240" w:lineRule="auto"/>
              <w:ind w:firstLine="0" w:firstLineChars="0"/>
              <w:rPr>
                <w:b/>
                <w:sz w:val="18"/>
                <w:szCs w:val="18"/>
              </w:rPr>
            </w:pPr>
          </w:p>
        </w:tc>
        <w:tc>
          <w:tcPr>
            <w:tcW w:w="1941"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环保设施设计单位</w:t>
            </w:r>
          </w:p>
        </w:tc>
        <w:tc>
          <w:tcPr>
            <w:tcW w:w="2205"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w:t>
            </w:r>
          </w:p>
        </w:tc>
        <w:tc>
          <w:tcPr>
            <w:tcW w:w="3307" w:type="dxa"/>
            <w:gridSpan w:val="10"/>
            <w:vAlign w:val="center"/>
          </w:tcPr>
          <w:p>
            <w:pPr>
              <w:adjustRightInd w:val="0"/>
              <w:snapToGrid w:val="0"/>
              <w:spacing w:line="240" w:lineRule="auto"/>
              <w:ind w:firstLine="0" w:firstLineChars="0"/>
              <w:jc w:val="center"/>
              <w:rPr>
                <w:b/>
                <w:sz w:val="18"/>
                <w:szCs w:val="18"/>
              </w:rPr>
            </w:pPr>
            <w:r>
              <w:rPr>
                <w:rFonts w:hint="eastAsia"/>
                <w:b/>
                <w:sz w:val="18"/>
                <w:szCs w:val="18"/>
              </w:rPr>
              <w:t>环保设施施工单位</w:t>
            </w:r>
          </w:p>
        </w:tc>
        <w:tc>
          <w:tcPr>
            <w:tcW w:w="2385"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w:t>
            </w:r>
          </w:p>
        </w:tc>
        <w:tc>
          <w:tcPr>
            <w:tcW w:w="2160" w:type="dxa"/>
            <w:gridSpan w:val="4"/>
            <w:vAlign w:val="center"/>
          </w:tcPr>
          <w:p>
            <w:pPr>
              <w:adjustRightInd w:val="0"/>
              <w:snapToGrid w:val="0"/>
              <w:spacing w:line="240" w:lineRule="auto"/>
              <w:ind w:firstLine="0" w:firstLineChars="0"/>
              <w:jc w:val="center"/>
              <w:rPr>
                <w:b/>
                <w:sz w:val="18"/>
                <w:szCs w:val="18"/>
              </w:rPr>
            </w:pPr>
            <w:r>
              <w:rPr>
                <w:rFonts w:hint="eastAsia"/>
                <w:b/>
                <w:sz w:val="18"/>
                <w:szCs w:val="18"/>
              </w:rPr>
              <w:t>环保设施监测单位</w:t>
            </w:r>
          </w:p>
        </w:tc>
        <w:tc>
          <w:tcPr>
            <w:tcW w:w="3176" w:type="dxa"/>
            <w:gridSpan w:val="5"/>
            <w:vAlign w:val="center"/>
          </w:tcPr>
          <w:p>
            <w:pPr>
              <w:adjustRightInd w:val="0"/>
              <w:snapToGrid w:val="0"/>
              <w:spacing w:line="240" w:lineRule="auto"/>
              <w:ind w:firstLine="0" w:firstLineChars="0"/>
              <w:jc w:val="center"/>
              <w:rPr>
                <w:b/>
                <w:sz w:val="18"/>
                <w:szCs w:val="18"/>
              </w:rPr>
            </w:pPr>
            <w:r>
              <w:rPr>
                <w:rFonts w:hint="eastAsia"/>
                <w:b/>
                <w:color w:val="000000" w:themeColor="text1"/>
                <w:sz w:val="18"/>
                <w:szCs w:val="18"/>
                <w14:textFill>
                  <w14:solidFill>
                    <w14:schemeClr w14:val="tx1"/>
                  </w14:solidFill>
                </w14:textFill>
              </w:rPr>
              <w:t>山东华一检测有限公司</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55" w:hRule="atLeast"/>
          <w:jc w:val="center"/>
        </w:trPr>
        <w:tc>
          <w:tcPr>
            <w:tcW w:w="526" w:type="dxa"/>
            <w:vMerge w:val="continue"/>
            <w:vAlign w:val="center"/>
          </w:tcPr>
          <w:p>
            <w:pPr>
              <w:adjustRightInd w:val="0"/>
              <w:snapToGrid w:val="0"/>
              <w:spacing w:line="240" w:lineRule="auto"/>
              <w:ind w:firstLine="0" w:firstLineChars="0"/>
              <w:rPr>
                <w:b/>
                <w:sz w:val="18"/>
                <w:szCs w:val="18"/>
              </w:rPr>
            </w:pPr>
          </w:p>
        </w:tc>
        <w:tc>
          <w:tcPr>
            <w:tcW w:w="1941"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实际总投资（万元）*</w:t>
            </w:r>
          </w:p>
        </w:tc>
        <w:tc>
          <w:tcPr>
            <w:tcW w:w="5512" w:type="dxa"/>
            <w:gridSpan w:val="12"/>
            <w:vAlign w:val="center"/>
          </w:tcPr>
          <w:p>
            <w:pPr>
              <w:adjustRightInd w:val="0"/>
              <w:snapToGrid w:val="0"/>
              <w:spacing w:line="240" w:lineRule="auto"/>
              <w:ind w:firstLine="0" w:firstLineChars="0"/>
              <w:jc w:val="center"/>
              <w:rPr>
                <w:b/>
                <w:sz w:val="18"/>
                <w:szCs w:val="18"/>
              </w:rPr>
            </w:pPr>
            <w:r>
              <w:rPr>
                <w:rFonts w:hint="eastAsia"/>
                <w:b/>
                <w:sz w:val="18"/>
                <w:szCs w:val="18"/>
              </w:rPr>
              <w:t>3500</w:t>
            </w:r>
          </w:p>
        </w:tc>
        <w:tc>
          <w:tcPr>
            <w:tcW w:w="2385"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实际环保投资（万元）*</w:t>
            </w:r>
          </w:p>
        </w:tc>
        <w:tc>
          <w:tcPr>
            <w:tcW w:w="2160" w:type="dxa"/>
            <w:gridSpan w:val="4"/>
            <w:vAlign w:val="center"/>
          </w:tcPr>
          <w:p>
            <w:pPr>
              <w:adjustRightInd w:val="0"/>
              <w:snapToGrid w:val="0"/>
              <w:spacing w:line="240" w:lineRule="auto"/>
              <w:ind w:firstLine="0" w:firstLineChars="0"/>
              <w:jc w:val="center"/>
              <w:rPr>
                <w:b/>
                <w:sz w:val="18"/>
                <w:szCs w:val="18"/>
              </w:rPr>
            </w:pPr>
            <w:r>
              <w:rPr>
                <w:rFonts w:hint="eastAsia"/>
                <w:b/>
                <w:sz w:val="18"/>
                <w:szCs w:val="18"/>
              </w:rPr>
              <w:t>400</w:t>
            </w:r>
          </w:p>
        </w:tc>
        <w:tc>
          <w:tcPr>
            <w:tcW w:w="1318"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所占比例（%）</w:t>
            </w:r>
          </w:p>
        </w:tc>
        <w:tc>
          <w:tcPr>
            <w:tcW w:w="1858"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11.4%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55" w:hRule="atLeast"/>
          <w:jc w:val="center"/>
        </w:trPr>
        <w:tc>
          <w:tcPr>
            <w:tcW w:w="526" w:type="dxa"/>
            <w:vMerge w:val="continue"/>
            <w:vAlign w:val="center"/>
          </w:tcPr>
          <w:p>
            <w:pPr>
              <w:adjustRightInd w:val="0"/>
              <w:snapToGrid w:val="0"/>
              <w:spacing w:line="240" w:lineRule="auto"/>
              <w:ind w:firstLine="0" w:firstLineChars="0"/>
              <w:rPr>
                <w:b/>
                <w:sz w:val="18"/>
                <w:szCs w:val="18"/>
              </w:rPr>
            </w:pPr>
          </w:p>
        </w:tc>
        <w:tc>
          <w:tcPr>
            <w:tcW w:w="1941"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废水治理（万元）</w:t>
            </w:r>
          </w:p>
        </w:tc>
        <w:tc>
          <w:tcPr>
            <w:tcW w:w="1102" w:type="dxa"/>
            <w:vAlign w:val="center"/>
          </w:tcPr>
          <w:p>
            <w:pPr>
              <w:adjustRightInd w:val="0"/>
              <w:snapToGrid w:val="0"/>
              <w:spacing w:line="240" w:lineRule="auto"/>
              <w:ind w:firstLine="0" w:firstLineChars="0"/>
              <w:jc w:val="center"/>
              <w:rPr>
                <w:b/>
                <w:sz w:val="18"/>
                <w:szCs w:val="18"/>
              </w:rPr>
            </w:pPr>
            <w:r>
              <w:rPr>
                <w:rFonts w:hint="eastAsia"/>
                <w:b/>
                <w:color w:val="000000" w:themeColor="text1"/>
                <w:sz w:val="18"/>
                <w:szCs w:val="18"/>
                <w14:textFill>
                  <w14:solidFill>
                    <w14:schemeClr w14:val="tx1"/>
                  </w14:solidFill>
                </w14:textFill>
              </w:rPr>
              <w:t>100</w:t>
            </w:r>
          </w:p>
        </w:tc>
        <w:tc>
          <w:tcPr>
            <w:tcW w:w="1274"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废气治理</w:t>
            </w:r>
          </w:p>
          <w:p>
            <w:pPr>
              <w:adjustRightInd w:val="0"/>
              <w:snapToGrid w:val="0"/>
              <w:spacing w:line="240" w:lineRule="auto"/>
              <w:ind w:firstLine="0" w:firstLineChars="0"/>
              <w:jc w:val="center"/>
              <w:rPr>
                <w:b/>
                <w:sz w:val="18"/>
                <w:szCs w:val="18"/>
              </w:rPr>
            </w:pPr>
            <w:r>
              <w:rPr>
                <w:rFonts w:hint="eastAsia"/>
                <w:b/>
                <w:sz w:val="18"/>
                <w:szCs w:val="18"/>
              </w:rPr>
              <w:t>（万元）</w:t>
            </w:r>
          </w:p>
        </w:tc>
        <w:tc>
          <w:tcPr>
            <w:tcW w:w="937" w:type="dxa"/>
            <w:gridSpan w:val="2"/>
            <w:vAlign w:val="center"/>
          </w:tcPr>
          <w:p>
            <w:pPr>
              <w:adjustRightInd w:val="0"/>
              <w:snapToGrid w:val="0"/>
              <w:spacing w:line="240" w:lineRule="auto"/>
              <w:ind w:firstLine="0" w:firstLineChars="0"/>
              <w:jc w:val="center"/>
              <w:rPr>
                <w:b/>
                <w:sz w:val="18"/>
                <w:szCs w:val="18"/>
              </w:rPr>
            </w:pPr>
            <w:r>
              <w:rPr>
                <w:rFonts w:hint="eastAsia"/>
                <w:b/>
                <w:color w:val="000000" w:themeColor="text1"/>
                <w:sz w:val="18"/>
                <w:szCs w:val="18"/>
                <w14:textFill>
                  <w14:solidFill>
                    <w14:schemeClr w14:val="tx1"/>
                  </w14:solidFill>
                </w14:textFill>
              </w:rPr>
              <w:t>70</w:t>
            </w:r>
          </w:p>
        </w:tc>
        <w:tc>
          <w:tcPr>
            <w:tcW w:w="1238" w:type="dxa"/>
            <w:gridSpan w:val="5"/>
            <w:vAlign w:val="center"/>
          </w:tcPr>
          <w:p>
            <w:pPr>
              <w:adjustRightInd w:val="0"/>
              <w:snapToGrid w:val="0"/>
              <w:spacing w:line="240" w:lineRule="auto"/>
              <w:ind w:firstLine="0" w:firstLineChars="0"/>
              <w:jc w:val="center"/>
              <w:rPr>
                <w:b/>
                <w:sz w:val="18"/>
                <w:szCs w:val="18"/>
              </w:rPr>
            </w:pPr>
            <w:r>
              <w:rPr>
                <w:rFonts w:hint="eastAsia"/>
                <w:b/>
                <w:sz w:val="18"/>
                <w:szCs w:val="18"/>
              </w:rPr>
              <w:t>噪声治理</w:t>
            </w:r>
          </w:p>
          <w:p>
            <w:pPr>
              <w:adjustRightInd w:val="0"/>
              <w:snapToGrid w:val="0"/>
              <w:spacing w:line="240" w:lineRule="auto"/>
              <w:ind w:firstLine="0" w:firstLineChars="0"/>
              <w:jc w:val="center"/>
              <w:rPr>
                <w:b/>
                <w:sz w:val="18"/>
                <w:szCs w:val="18"/>
              </w:rPr>
            </w:pPr>
            <w:r>
              <w:rPr>
                <w:rFonts w:hint="eastAsia"/>
                <w:b/>
                <w:sz w:val="18"/>
                <w:szCs w:val="18"/>
              </w:rPr>
              <w:t>(万元)</w:t>
            </w:r>
          </w:p>
        </w:tc>
        <w:tc>
          <w:tcPr>
            <w:tcW w:w="961" w:type="dxa"/>
            <w:vAlign w:val="center"/>
          </w:tcPr>
          <w:p>
            <w:pPr>
              <w:adjustRightInd w:val="0"/>
              <w:snapToGrid w:val="0"/>
              <w:spacing w:line="240" w:lineRule="auto"/>
              <w:ind w:firstLine="0" w:firstLineChars="0"/>
              <w:jc w:val="center"/>
              <w:rPr>
                <w:b/>
                <w:sz w:val="18"/>
                <w:szCs w:val="18"/>
              </w:rPr>
            </w:pPr>
            <w:r>
              <w:rPr>
                <w:rFonts w:hint="eastAsia"/>
                <w:b/>
                <w:sz w:val="18"/>
                <w:szCs w:val="18"/>
              </w:rPr>
              <w:t>60</w:t>
            </w:r>
          </w:p>
        </w:tc>
        <w:tc>
          <w:tcPr>
            <w:tcW w:w="1319"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固废治理</w:t>
            </w:r>
          </w:p>
          <w:p>
            <w:pPr>
              <w:adjustRightInd w:val="0"/>
              <w:snapToGrid w:val="0"/>
              <w:spacing w:line="240" w:lineRule="auto"/>
              <w:ind w:firstLine="0" w:firstLineChars="0"/>
              <w:jc w:val="center"/>
              <w:rPr>
                <w:b/>
                <w:sz w:val="18"/>
                <w:szCs w:val="18"/>
              </w:rPr>
            </w:pPr>
            <w:r>
              <w:rPr>
                <w:rFonts w:hint="eastAsia"/>
                <w:b/>
                <w:sz w:val="18"/>
                <w:szCs w:val="18"/>
              </w:rPr>
              <w:t>(万元)</w:t>
            </w:r>
          </w:p>
        </w:tc>
        <w:tc>
          <w:tcPr>
            <w:tcW w:w="1066" w:type="dxa"/>
            <w:vAlign w:val="center"/>
          </w:tcPr>
          <w:p>
            <w:pPr>
              <w:adjustRightInd w:val="0"/>
              <w:snapToGrid w:val="0"/>
              <w:spacing w:line="240" w:lineRule="auto"/>
              <w:ind w:firstLine="0" w:firstLineChars="0"/>
              <w:jc w:val="center"/>
              <w:rPr>
                <w:b/>
                <w:sz w:val="18"/>
                <w:szCs w:val="18"/>
              </w:rPr>
            </w:pPr>
            <w:r>
              <w:rPr>
                <w:rFonts w:hint="eastAsia"/>
                <w:b/>
                <w:color w:val="000000" w:themeColor="text1"/>
                <w:sz w:val="18"/>
                <w:szCs w:val="18"/>
                <w14:textFill>
                  <w14:solidFill>
                    <w14:schemeClr w14:val="tx1"/>
                  </w14:solidFill>
                </w14:textFill>
              </w:rPr>
              <w:t>60</w:t>
            </w:r>
          </w:p>
        </w:tc>
        <w:tc>
          <w:tcPr>
            <w:tcW w:w="1199"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绿化及生态</w:t>
            </w:r>
          </w:p>
          <w:p>
            <w:pPr>
              <w:adjustRightInd w:val="0"/>
              <w:snapToGrid w:val="0"/>
              <w:spacing w:line="240" w:lineRule="auto"/>
              <w:ind w:firstLine="0" w:firstLineChars="0"/>
              <w:jc w:val="center"/>
              <w:rPr>
                <w:b/>
                <w:sz w:val="18"/>
                <w:szCs w:val="18"/>
              </w:rPr>
            </w:pPr>
            <w:r>
              <w:rPr>
                <w:rFonts w:hint="eastAsia"/>
                <w:b/>
                <w:sz w:val="18"/>
                <w:szCs w:val="18"/>
              </w:rPr>
              <w:t>(万元)</w:t>
            </w:r>
          </w:p>
        </w:tc>
        <w:tc>
          <w:tcPr>
            <w:tcW w:w="961"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110</w:t>
            </w:r>
          </w:p>
        </w:tc>
        <w:tc>
          <w:tcPr>
            <w:tcW w:w="1318"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其他(万元)</w:t>
            </w:r>
          </w:p>
        </w:tc>
        <w:tc>
          <w:tcPr>
            <w:tcW w:w="1858"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396" w:hRule="atLeast"/>
          <w:jc w:val="center"/>
        </w:trPr>
        <w:tc>
          <w:tcPr>
            <w:tcW w:w="526" w:type="dxa"/>
            <w:vMerge w:val="continue"/>
            <w:vAlign w:val="center"/>
          </w:tcPr>
          <w:p>
            <w:pPr>
              <w:adjustRightInd w:val="0"/>
              <w:snapToGrid w:val="0"/>
              <w:spacing w:line="240" w:lineRule="auto"/>
              <w:ind w:firstLine="0" w:firstLineChars="0"/>
              <w:rPr>
                <w:b/>
                <w:sz w:val="18"/>
                <w:szCs w:val="18"/>
              </w:rPr>
            </w:pPr>
          </w:p>
        </w:tc>
        <w:tc>
          <w:tcPr>
            <w:tcW w:w="1941"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新增废水处理设施能力（t/d）</w:t>
            </w:r>
          </w:p>
        </w:tc>
        <w:tc>
          <w:tcPr>
            <w:tcW w:w="5512" w:type="dxa"/>
            <w:gridSpan w:val="12"/>
            <w:vAlign w:val="center"/>
          </w:tcPr>
          <w:p>
            <w:pPr>
              <w:adjustRightInd w:val="0"/>
              <w:snapToGrid w:val="0"/>
              <w:spacing w:line="240" w:lineRule="auto"/>
              <w:ind w:firstLine="0" w:firstLineChars="0"/>
              <w:jc w:val="center"/>
              <w:rPr>
                <w:b/>
                <w:sz w:val="18"/>
                <w:szCs w:val="18"/>
              </w:rPr>
            </w:pPr>
            <w:r>
              <w:rPr>
                <w:rFonts w:hint="eastAsia"/>
                <w:b/>
                <w:sz w:val="18"/>
                <w:szCs w:val="18"/>
              </w:rPr>
              <w:t>/</w:t>
            </w:r>
          </w:p>
        </w:tc>
        <w:tc>
          <w:tcPr>
            <w:tcW w:w="2385"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新增废气处理设施能力(Nm</w:t>
            </w:r>
            <w:r>
              <w:rPr>
                <w:rFonts w:hint="eastAsia"/>
                <w:b/>
                <w:sz w:val="18"/>
                <w:szCs w:val="18"/>
                <w:vertAlign w:val="superscript"/>
              </w:rPr>
              <w:t>3</w:t>
            </w:r>
            <w:r>
              <w:rPr>
                <w:rFonts w:hint="eastAsia"/>
                <w:b/>
                <w:sz w:val="18"/>
                <w:szCs w:val="18"/>
              </w:rPr>
              <w:t>/h)</w:t>
            </w:r>
          </w:p>
        </w:tc>
        <w:tc>
          <w:tcPr>
            <w:tcW w:w="2160" w:type="dxa"/>
            <w:gridSpan w:val="4"/>
            <w:vAlign w:val="center"/>
          </w:tcPr>
          <w:p>
            <w:pPr>
              <w:adjustRightInd w:val="0"/>
              <w:snapToGrid w:val="0"/>
              <w:spacing w:line="240" w:lineRule="auto"/>
              <w:ind w:firstLine="0" w:firstLineChars="0"/>
              <w:jc w:val="center"/>
              <w:rPr>
                <w:b/>
                <w:sz w:val="18"/>
                <w:szCs w:val="18"/>
              </w:rPr>
            </w:pPr>
            <w:r>
              <w:rPr>
                <w:rFonts w:hint="eastAsia"/>
                <w:b/>
                <w:sz w:val="18"/>
                <w:szCs w:val="18"/>
              </w:rPr>
              <w:t>/</w:t>
            </w:r>
          </w:p>
        </w:tc>
        <w:tc>
          <w:tcPr>
            <w:tcW w:w="1318"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年平均工作时(h/a)</w:t>
            </w:r>
          </w:p>
        </w:tc>
        <w:tc>
          <w:tcPr>
            <w:tcW w:w="1858"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55" w:hRule="atLeast"/>
          <w:jc w:val="center"/>
        </w:trPr>
        <w:tc>
          <w:tcPr>
            <w:tcW w:w="2467" w:type="dxa"/>
            <w:gridSpan w:val="3"/>
            <w:vAlign w:val="center"/>
          </w:tcPr>
          <w:p>
            <w:pPr>
              <w:adjustRightInd w:val="0"/>
              <w:snapToGrid w:val="0"/>
              <w:spacing w:line="240" w:lineRule="auto"/>
              <w:ind w:firstLine="0" w:firstLineChars="0"/>
              <w:rPr>
                <w:b/>
                <w:sz w:val="18"/>
                <w:szCs w:val="18"/>
              </w:rPr>
            </w:pPr>
            <w:r>
              <w:rPr>
                <w:rFonts w:hint="eastAsia"/>
                <w:b/>
                <w:sz w:val="18"/>
                <w:szCs w:val="18"/>
              </w:rPr>
              <w:t>建设单位</w:t>
            </w:r>
          </w:p>
        </w:tc>
        <w:tc>
          <w:tcPr>
            <w:tcW w:w="2586" w:type="dxa"/>
            <w:gridSpan w:val="5"/>
            <w:vAlign w:val="center"/>
          </w:tcPr>
          <w:p>
            <w:pPr>
              <w:adjustRightInd w:val="0"/>
              <w:snapToGrid w:val="0"/>
              <w:spacing w:line="240" w:lineRule="auto"/>
              <w:ind w:firstLine="0" w:firstLineChars="0"/>
              <w:rPr>
                <w:b/>
                <w:sz w:val="18"/>
                <w:szCs w:val="18"/>
              </w:rPr>
            </w:pPr>
            <w:r>
              <w:rPr>
                <w:rFonts w:hint="eastAsia"/>
                <w:b/>
                <w:sz w:val="18"/>
                <w:szCs w:val="18"/>
              </w:rPr>
              <w:t>潍坊万汇置业有限公司</w:t>
            </w:r>
          </w:p>
        </w:tc>
        <w:tc>
          <w:tcPr>
            <w:tcW w:w="1110" w:type="dxa"/>
            <w:gridSpan w:val="3"/>
            <w:vAlign w:val="center"/>
          </w:tcPr>
          <w:p>
            <w:pPr>
              <w:adjustRightInd w:val="0"/>
              <w:snapToGrid w:val="0"/>
              <w:spacing w:line="240" w:lineRule="auto"/>
              <w:ind w:firstLine="0" w:firstLineChars="0"/>
              <w:rPr>
                <w:b/>
                <w:sz w:val="18"/>
                <w:szCs w:val="18"/>
              </w:rPr>
            </w:pPr>
            <w:r>
              <w:rPr>
                <w:rFonts w:hint="eastAsia"/>
                <w:b/>
                <w:sz w:val="18"/>
                <w:szCs w:val="18"/>
              </w:rPr>
              <w:t>邮政编码</w:t>
            </w:r>
          </w:p>
        </w:tc>
        <w:tc>
          <w:tcPr>
            <w:tcW w:w="1816" w:type="dxa"/>
            <w:gridSpan w:val="4"/>
            <w:vAlign w:val="center"/>
          </w:tcPr>
          <w:p>
            <w:pPr>
              <w:adjustRightInd w:val="0"/>
              <w:snapToGrid w:val="0"/>
              <w:spacing w:line="240" w:lineRule="auto"/>
              <w:ind w:firstLine="0" w:firstLineChars="0"/>
              <w:rPr>
                <w:b/>
                <w:sz w:val="18"/>
                <w:szCs w:val="18"/>
              </w:rPr>
            </w:pPr>
            <w:r>
              <w:rPr>
                <w:rFonts w:hint="eastAsia"/>
                <w:b/>
                <w:sz w:val="18"/>
                <w:szCs w:val="18"/>
              </w:rPr>
              <w:t>262200</w:t>
            </w:r>
          </w:p>
        </w:tc>
        <w:tc>
          <w:tcPr>
            <w:tcW w:w="2385" w:type="dxa"/>
            <w:gridSpan w:val="3"/>
            <w:vAlign w:val="center"/>
          </w:tcPr>
          <w:p>
            <w:pPr>
              <w:adjustRightInd w:val="0"/>
              <w:snapToGrid w:val="0"/>
              <w:spacing w:line="240" w:lineRule="auto"/>
              <w:ind w:firstLine="0" w:firstLineChars="0"/>
              <w:rPr>
                <w:b/>
                <w:sz w:val="18"/>
                <w:szCs w:val="18"/>
              </w:rPr>
            </w:pPr>
            <w:r>
              <w:rPr>
                <w:rFonts w:hint="eastAsia"/>
                <w:b/>
                <w:sz w:val="18"/>
                <w:szCs w:val="18"/>
              </w:rPr>
              <w:t>联系电话</w:t>
            </w:r>
          </w:p>
        </w:tc>
        <w:tc>
          <w:tcPr>
            <w:tcW w:w="1694" w:type="dxa"/>
            <w:gridSpan w:val="3"/>
            <w:vAlign w:val="center"/>
          </w:tcPr>
          <w:p>
            <w:pPr>
              <w:adjustRightInd w:val="0"/>
              <w:snapToGrid w:val="0"/>
              <w:spacing w:line="240" w:lineRule="auto"/>
              <w:ind w:firstLine="0" w:firstLineChars="0"/>
              <w:rPr>
                <w:b/>
                <w:sz w:val="18"/>
                <w:szCs w:val="18"/>
              </w:rPr>
            </w:pPr>
            <w:r>
              <w:rPr>
                <w:rFonts w:hint="eastAsia"/>
                <w:b/>
                <w:sz w:val="18"/>
                <w:szCs w:val="18"/>
              </w:rPr>
              <w:t>/</w:t>
            </w:r>
          </w:p>
        </w:tc>
        <w:tc>
          <w:tcPr>
            <w:tcW w:w="1021" w:type="dxa"/>
            <w:gridSpan w:val="2"/>
            <w:vAlign w:val="center"/>
          </w:tcPr>
          <w:p>
            <w:pPr>
              <w:adjustRightInd w:val="0"/>
              <w:snapToGrid w:val="0"/>
              <w:spacing w:line="240" w:lineRule="auto"/>
              <w:ind w:firstLine="0" w:firstLineChars="0"/>
              <w:rPr>
                <w:b/>
                <w:sz w:val="18"/>
                <w:szCs w:val="18"/>
              </w:rPr>
            </w:pPr>
            <w:r>
              <w:rPr>
                <w:rFonts w:hint="eastAsia"/>
                <w:b/>
                <w:sz w:val="18"/>
                <w:szCs w:val="18"/>
              </w:rPr>
              <w:t>环评单位</w:t>
            </w:r>
          </w:p>
        </w:tc>
        <w:tc>
          <w:tcPr>
            <w:tcW w:w="2621" w:type="dxa"/>
            <w:gridSpan w:val="4"/>
            <w:vAlign w:val="center"/>
          </w:tcPr>
          <w:p>
            <w:pPr>
              <w:adjustRightInd w:val="0"/>
              <w:snapToGrid w:val="0"/>
              <w:spacing w:line="240" w:lineRule="auto"/>
              <w:ind w:firstLine="0" w:firstLineChars="0"/>
              <w:rPr>
                <w:b/>
                <w:sz w:val="18"/>
                <w:szCs w:val="18"/>
              </w:rPr>
            </w:pPr>
            <w:r>
              <w:rPr>
                <w:rFonts w:hint="eastAsia"/>
                <w:b/>
                <w:sz w:val="18"/>
                <w:szCs w:val="18"/>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55" w:hRule="atLeast"/>
          <w:jc w:val="center"/>
        </w:trPr>
        <w:tc>
          <w:tcPr>
            <w:tcW w:w="658" w:type="dxa"/>
            <w:gridSpan w:val="2"/>
            <w:vMerge w:val="restart"/>
            <w:vAlign w:val="center"/>
          </w:tcPr>
          <w:p>
            <w:pPr>
              <w:adjustRightInd w:val="0"/>
              <w:snapToGrid w:val="0"/>
              <w:spacing w:line="240" w:lineRule="auto"/>
              <w:ind w:firstLine="0" w:firstLineChars="0"/>
              <w:jc w:val="center"/>
              <w:rPr>
                <w:b/>
                <w:sz w:val="18"/>
                <w:szCs w:val="18"/>
              </w:rPr>
            </w:pPr>
            <w:r>
              <w:rPr>
                <w:rFonts w:hint="eastAsia"/>
                <w:b/>
                <w:spacing w:val="20"/>
                <w:sz w:val="18"/>
                <w:szCs w:val="18"/>
              </w:rPr>
              <w:t>污染物排放达标与总量控制（工业建设项目详填）</w:t>
            </w:r>
          </w:p>
        </w:tc>
        <w:tc>
          <w:tcPr>
            <w:tcW w:w="1809" w:type="dxa"/>
            <w:vAlign w:val="center"/>
          </w:tcPr>
          <w:p>
            <w:pPr>
              <w:adjustRightInd w:val="0"/>
              <w:snapToGrid w:val="0"/>
              <w:spacing w:line="240" w:lineRule="auto"/>
              <w:ind w:firstLine="0" w:firstLineChars="0"/>
              <w:jc w:val="center"/>
              <w:rPr>
                <w:b/>
                <w:sz w:val="18"/>
                <w:szCs w:val="18"/>
              </w:rPr>
            </w:pPr>
            <w:r>
              <w:rPr>
                <w:rFonts w:hint="eastAsia"/>
                <w:b/>
                <w:sz w:val="18"/>
                <w:szCs w:val="18"/>
              </w:rPr>
              <w:t>污染物</w:t>
            </w:r>
          </w:p>
        </w:tc>
        <w:tc>
          <w:tcPr>
            <w:tcW w:w="1102" w:type="dxa"/>
            <w:vAlign w:val="center"/>
          </w:tcPr>
          <w:p>
            <w:pPr>
              <w:adjustRightInd w:val="0"/>
              <w:snapToGrid w:val="0"/>
              <w:spacing w:line="240" w:lineRule="auto"/>
              <w:ind w:firstLine="0" w:firstLineChars="0"/>
              <w:jc w:val="center"/>
              <w:rPr>
                <w:b/>
                <w:sz w:val="18"/>
                <w:szCs w:val="18"/>
              </w:rPr>
            </w:pPr>
            <w:r>
              <w:rPr>
                <w:rFonts w:hint="eastAsia"/>
                <w:b/>
                <w:sz w:val="18"/>
                <w:szCs w:val="18"/>
              </w:rPr>
              <w:t>原有排放量(1)</w:t>
            </w:r>
          </w:p>
        </w:tc>
        <w:tc>
          <w:tcPr>
            <w:tcW w:w="1214"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本期工程实际排放浓度（2）</w:t>
            </w:r>
          </w:p>
        </w:tc>
        <w:tc>
          <w:tcPr>
            <w:tcW w:w="1110" w:type="dxa"/>
            <w:gridSpan w:val="4"/>
            <w:vAlign w:val="center"/>
          </w:tcPr>
          <w:p>
            <w:pPr>
              <w:adjustRightInd w:val="0"/>
              <w:snapToGrid w:val="0"/>
              <w:spacing w:line="240" w:lineRule="auto"/>
              <w:ind w:firstLine="0" w:firstLineChars="0"/>
              <w:jc w:val="center"/>
              <w:rPr>
                <w:b/>
                <w:sz w:val="18"/>
                <w:szCs w:val="18"/>
              </w:rPr>
            </w:pPr>
            <w:r>
              <w:rPr>
                <w:rFonts w:hint="eastAsia"/>
                <w:b/>
                <w:sz w:val="18"/>
                <w:szCs w:val="18"/>
              </w:rPr>
              <w:t>本期工程允许排放浓度（3）</w:t>
            </w:r>
          </w:p>
        </w:tc>
        <w:tc>
          <w:tcPr>
            <w:tcW w:w="984"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本期工程产生量</w:t>
            </w:r>
          </w:p>
          <w:p>
            <w:pPr>
              <w:adjustRightInd w:val="0"/>
              <w:snapToGrid w:val="0"/>
              <w:spacing w:line="240" w:lineRule="auto"/>
              <w:ind w:firstLine="0" w:firstLineChars="0"/>
              <w:jc w:val="center"/>
              <w:rPr>
                <w:b/>
                <w:sz w:val="18"/>
                <w:szCs w:val="18"/>
              </w:rPr>
            </w:pPr>
            <w:r>
              <w:rPr>
                <w:rFonts w:hint="eastAsia"/>
                <w:b/>
                <w:sz w:val="18"/>
                <w:szCs w:val="18"/>
              </w:rPr>
              <w:t>（4）</w:t>
            </w:r>
          </w:p>
        </w:tc>
        <w:tc>
          <w:tcPr>
            <w:tcW w:w="1102"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本期工程自身消减量（5）</w:t>
            </w:r>
          </w:p>
        </w:tc>
        <w:tc>
          <w:tcPr>
            <w:tcW w:w="1102" w:type="dxa"/>
            <w:vAlign w:val="center"/>
          </w:tcPr>
          <w:p>
            <w:pPr>
              <w:adjustRightInd w:val="0"/>
              <w:snapToGrid w:val="0"/>
              <w:spacing w:line="240" w:lineRule="auto"/>
              <w:ind w:firstLine="0" w:firstLineChars="0"/>
              <w:jc w:val="center"/>
              <w:rPr>
                <w:b/>
                <w:sz w:val="18"/>
                <w:szCs w:val="18"/>
              </w:rPr>
            </w:pPr>
            <w:r>
              <w:rPr>
                <w:rFonts w:hint="eastAsia"/>
                <w:b/>
                <w:sz w:val="18"/>
                <w:szCs w:val="18"/>
              </w:rPr>
              <w:t>本期工程实际排放量（6）</w:t>
            </w:r>
          </w:p>
        </w:tc>
        <w:tc>
          <w:tcPr>
            <w:tcW w:w="1283"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本期工程核定排放总量（7）</w:t>
            </w:r>
          </w:p>
        </w:tc>
        <w:tc>
          <w:tcPr>
            <w:tcW w:w="922" w:type="dxa"/>
            <w:vAlign w:val="center"/>
          </w:tcPr>
          <w:p>
            <w:pPr>
              <w:adjustRightInd w:val="0"/>
              <w:snapToGrid w:val="0"/>
              <w:spacing w:line="240" w:lineRule="auto"/>
              <w:ind w:firstLine="0" w:firstLineChars="0"/>
              <w:jc w:val="center"/>
              <w:rPr>
                <w:b/>
                <w:sz w:val="18"/>
                <w:szCs w:val="18"/>
              </w:rPr>
            </w:pPr>
            <w:r>
              <w:rPr>
                <w:rFonts w:hint="eastAsia"/>
                <w:b/>
                <w:sz w:val="18"/>
                <w:szCs w:val="18"/>
              </w:rPr>
              <w:t>本期工程“以新带老”减量（8）</w:t>
            </w:r>
          </w:p>
        </w:tc>
        <w:tc>
          <w:tcPr>
            <w:tcW w:w="1238" w:type="dxa"/>
            <w:gridSpan w:val="3"/>
            <w:vAlign w:val="center"/>
          </w:tcPr>
          <w:p>
            <w:pPr>
              <w:adjustRightInd w:val="0"/>
              <w:snapToGrid w:val="0"/>
              <w:spacing w:line="240" w:lineRule="auto"/>
              <w:ind w:firstLine="0" w:firstLineChars="0"/>
              <w:jc w:val="center"/>
              <w:rPr>
                <w:b/>
                <w:sz w:val="18"/>
                <w:szCs w:val="18"/>
              </w:rPr>
            </w:pPr>
            <w:r>
              <w:rPr>
                <w:rFonts w:hint="eastAsia"/>
                <w:b/>
                <w:sz w:val="18"/>
                <w:szCs w:val="18"/>
              </w:rPr>
              <w:t>全厂实际排放总量（9）</w:t>
            </w:r>
          </w:p>
        </w:tc>
        <w:tc>
          <w:tcPr>
            <w:tcW w:w="968"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全厂核定排放总量（10）</w:t>
            </w:r>
          </w:p>
        </w:tc>
        <w:tc>
          <w:tcPr>
            <w:tcW w:w="1102" w:type="dxa"/>
            <w:gridSpan w:val="2"/>
            <w:vAlign w:val="center"/>
          </w:tcPr>
          <w:p>
            <w:pPr>
              <w:adjustRightInd w:val="0"/>
              <w:snapToGrid w:val="0"/>
              <w:spacing w:line="240" w:lineRule="auto"/>
              <w:ind w:firstLine="0" w:firstLineChars="0"/>
              <w:jc w:val="center"/>
              <w:rPr>
                <w:b/>
                <w:sz w:val="18"/>
                <w:szCs w:val="18"/>
              </w:rPr>
            </w:pPr>
            <w:r>
              <w:rPr>
                <w:rFonts w:hint="eastAsia"/>
                <w:b/>
                <w:sz w:val="18"/>
                <w:szCs w:val="18"/>
              </w:rPr>
              <w:t>区域平衡替代消减量（11）</w:t>
            </w:r>
          </w:p>
        </w:tc>
        <w:tc>
          <w:tcPr>
            <w:tcW w:w="1106" w:type="dxa"/>
            <w:vAlign w:val="center"/>
          </w:tcPr>
          <w:p>
            <w:pPr>
              <w:adjustRightInd w:val="0"/>
              <w:snapToGrid w:val="0"/>
              <w:spacing w:line="240" w:lineRule="auto"/>
              <w:ind w:firstLine="0" w:firstLineChars="0"/>
              <w:jc w:val="center"/>
              <w:rPr>
                <w:b/>
                <w:sz w:val="18"/>
                <w:szCs w:val="18"/>
              </w:rPr>
            </w:pPr>
            <w:r>
              <w:rPr>
                <w:rFonts w:hint="eastAsia"/>
                <w:b/>
                <w:sz w:val="18"/>
                <w:szCs w:val="18"/>
              </w:rPr>
              <w:t>排放增减量（12）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55" w:hRule="atLeast"/>
          <w:jc w:val="center"/>
        </w:trPr>
        <w:tc>
          <w:tcPr>
            <w:tcW w:w="658" w:type="dxa"/>
            <w:gridSpan w:val="2"/>
            <w:vMerge w:val="continue"/>
            <w:vAlign w:val="center"/>
          </w:tcPr>
          <w:p>
            <w:pPr>
              <w:adjustRightInd w:val="0"/>
              <w:snapToGrid w:val="0"/>
              <w:spacing w:line="240" w:lineRule="auto"/>
              <w:ind w:firstLine="0" w:firstLineChars="0"/>
              <w:jc w:val="center"/>
              <w:rPr>
                <w:b/>
                <w:sz w:val="18"/>
                <w:szCs w:val="18"/>
              </w:rPr>
            </w:pPr>
          </w:p>
        </w:tc>
        <w:tc>
          <w:tcPr>
            <w:tcW w:w="1809" w:type="dxa"/>
            <w:vAlign w:val="center"/>
          </w:tcPr>
          <w:p>
            <w:pPr>
              <w:adjustRightInd w:val="0"/>
              <w:snapToGrid w:val="0"/>
              <w:spacing w:line="240" w:lineRule="auto"/>
              <w:ind w:firstLine="0" w:firstLineChars="0"/>
              <w:jc w:val="center"/>
              <w:rPr>
                <w:b/>
                <w:spacing w:val="20"/>
                <w:sz w:val="18"/>
                <w:szCs w:val="18"/>
              </w:rPr>
            </w:pPr>
            <w:r>
              <w:rPr>
                <w:rFonts w:hint="eastAsia"/>
                <w:b/>
                <w:sz w:val="18"/>
                <w:szCs w:val="18"/>
              </w:rPr>
              <w:t>废水</w:t>
            </w:r>
          </w:p>
        </w:tc>
        <w:tc>
          <w:tcPr>
            <w:tcW w:w="1102" w:type="dxa"/>
            <w:vAlign w:val="center"/>
          </w:tcPr>
          <w:p>
            <w:pPr>
              <w:adjustRightInd w:val="0"/>
              <w:snapToGrid w:val="0"/>
              <w:spacing w:line="240" w:lineRule="auto"/>
              <w:ind w:firstLine="0" w:firstLineChars="0"/>
              <w:jc w:val="center"/>
              <w:rPr>
                <w:b/>
                <w:sz w:val="18"/>
                <w:szCs w:val="18"/>
              </w:rPr>
            </w:pPr>
          </w:p>
        </w:tc>
        <w:tc>
          <w:tcPr>
            <w:tcW w:w="1214" w:type="dxa"/>
            <w:gridSpan w:val="2"/>
            <w:vAlign w:val="center"/>
          </w:tcPr>
          <w:p>
            <w:pPr>
              <w:widowControl/>
              <w:adjustRightInd w:val="0"/>
              <w:snapToGrid w:val="0"/>
              <w:spacing w:line="240" w:lineRule="auto"/>
              <w:ind w:firstLine="0" w:firstLineChars="0"/>
              <w:jc w:val="center"/>
              <w:rPr>
                <w:b/>
                <w:sz w:val="18"/>
                <w:szCs w:val="18"/>
              </w:rPr>
            </w:pPr>
          </w:p>
        </w:tc>
        <w:tc>
          <w:tcPr>
            <w:tcW w:w="1110" w:type="dxa"/>
            <w:gridSpan w:val="4"/>
            <w:vAlign w:val="center"/>
          </w:tcPr>
          <w:p>
            <w:pPr>
              <w:widowControl/>
              <w:adjustRightInd w:val="0"/>
              <w:snapToGrid w:val="0"/>
              <w:spacing w:line="240" w:lineRule="auto"/>
              <w:ind w:firstLine="0" w:firstLineChars="0"/>
              <w:jc w:val="center"/>
              <w:rPr>
                <w:b/>
                <w:sz w:val="18"/>
                <w:szCs w:val="18"/>
              </w:rPr>
            </w:pPr>
          </w:p>
        </w:tc>
        <w:tc>
          <w:tcPr>
            <w:tcW w:w="984" w:type="dxa"/>
            <w:gridSpan w:val="3"/>
            <w:vAlign w:val="center"/>
          </w:tcPr>
          <w:p>
            <w:pPr>
              <w:widowControl/>
              <w:adjustRightInd w:val="0"/>
              <w:snapToGrid w:val="0"/>
              <w:spacing w:line="240" w:lineRule="auto"/>
              <w:ind w:firstLine="0" w:firstLineChars="0"/>
              <w:jc w:val="center"/>
              <w:rPr>
                <w:b/>
                <w:sz w:val="18"/>
                <w:szCs w:val="18"/>
              </w:rPr>
            </w:pPr>
          </w:p>
        </w:tc>
        <w:tc>
          <w:tcPr>
            <w:tcW w:w="1102" w:type="dxa"/>
            <w:gridSpan w:val="2"/>
            <w:vAlign w:val="center"/>
          </w:tcPr>
          <w:p>
            <w:pPr>
              <w:widowControl/>
              <w:adjustRightInd w:val="0"/>
              <w:snapToGrid w:val="0"/>
              <w:spacing w:line="240" w:lineRule="auto"/>
              <w:ind w:firstLine="0" w:firstLineChars="0"/>
              <w:jc w:val="center"/>
              <w:rPr>
                <w:b/>
                <w:sz w:val="18"/>
                <w:szCs w:val="18"/>
              </w:rPr>
            </w:pPr>
          </w:p>
        </w:tc>
        <w:tc>
          <w:tcPr>
            <w:tcW w:w="1102" w:type="dxa"/>
            <w:vAlign w:val="center"/>
          </w:tcPr>
          <w:p>
            <w:pPr>
              <w:widowControl/>
              <w:adjustRightInd w:val="0"/>
              <w:snapToGrid w:val="0"/>
              <w:spacing w:line="240" w:lineRule="auto"/>
              <w:ind w:firstLine="0" w:firstLineChars="0"/>
              <w:jc w:val="center"/>
              <w:rPr>
                <w:b/>
                <w:sz w:val="18"/>
                <w:szCs w:val="18"/>
              </w:rPr>
            </w:pPr>
            <w:r>
              <w:rPr>
                <w:rFonts w:hint="eastAsia"/>
                <w:b/>
                <w:sz w:val="18"/>
                <w:szCs w:val="18"/>
              </w:rPr>
              <w:t>2.09</w:t>
            </w:r>
          </w:p>
        </w:tc>
        <w:tc>
          <w:tcPr>
            <w:tcW w:w="1283" w:type="dxa"/>
            <w:gridSpan w:val="2"/>
            <w:vAlign w:val="center"/>
          </w:tcPr>
          <w:p>
            <w:pPr>
              <w:widowControl/>
              <w:adjustRightInd w:val="0"/>
              <w:snapToGrid w:val="0"/>
              <w:spacing w:line="240" w:lineRule="auto"/>
              <w:ind w:firstLine="0" w:firstLineChars="0"/>
              <w:jc w:val="center"/>
              <w:rPr>
                <w:b/>
                <w:sz w:val="18"/>
                <w:szCs w:val="18"/>
              </w:rPr>
            </w:pPr>
          </w:p>
        </w:tc>
        <w:tc>
          <w:tcPr>
            <w:tcW w:w="922" w:type="dxa"/>
            <w:vAlign w:val="center"/>
          </w:tcPr>
          <w:p>
            <w:pPr>
              <w:widowControl/>
              <w:adjustRightInd w:val="0"/>
              <w:snapToGrid w:val="0"/>
              <w:spacing w:line="240" w:lineRule="auto"/>
              <w:ind w:firstLine="0" w:firstLineChars="0"/>
              <w:jc w:val="center"/>
              <w:rPr>
                <w:b/>
                <w:sz w:val="18"/>
                <w:szCs w:val="18"/>
              </w:rPr>
            </w:pPr>
          </w:p>
        </w:tc>
        <w:tc>
          <w:tcPr>
            <w:tcW w:w="1238" w:type="dxa"/>
            <w:gridSpan w:val="3"/>
            <w:vAlign w:val="center"/>
          </w:tcPr>
          <w:p>
            <w:pPr>
              <w:widowControl/>
              <w:adjustRightInd w:val="0"/>
              <w:snapToGrid w:val="0"/>
              <w:spacing w:line="240" w:lineRule="auto"/>
              <w:ind w:firstLine="0" w:firstLineChars="0"/>
              <w:jc w:val="center"/>
              <w:rPr>
                <w:b/>
                <w:sz w:val="18"/>
                <w:szCs w:val="18"/>
              </w:rPr>
            </w:pPr>
            <w:r>
              <w:rPr>
                <w:rFonts w:hint="eastAsia"/>
                <w:b/>
                <w:sz w:val="18"/>
                <w:szCs w:val="18"/>
              </w:rPr>
              <w:t>2.09</w:t>
            </w:r>
          </w:p>
        </w:tc>
        <w:tc>
          <w:tcPr>
            <w:tcW w:w="968" w:type="dxa"/>
            <w:gridSpan w:val="2"/>
            <w:vAlign w:val="center"/>
          </w:tcPr>
          <w:p>
            <w:pPr>
              <w:adjustRightInd w:val="0"/>
              <w:snapToGrid w:val="0"/>
              <w:spacing w:line="240" w:lineRule="auto"/>
              <w:ind w:firstLine="0" w:firstLineChars="0"/>
              <w:jc w:val="center"/>
              <w:rPr>
                <w:b/>
                <w:sz w:val="18"/>
                <w:szCs w:val="18"/>
              </w:rPr>
            </w:pPr>
          </w:p>
        </w:tc>
        <w:tc>
          <w:tcPr>
            <w:tcW w:w="1102" w:type="dxa"/>
            <w:gridSpan w:val="2"/>
            <w:vAlign w:val="center"/>
          </w:tcPr>
          <w:p>
            <w:pPr>
              <w:adjustRightInd w:val="0"/>
              <w:snapToGrid w:val="0"/>
              <w:spacing w:line="240" w:lineRule="auto"/>
              <w:ind w:firstLine="0" w:firstLineChars="0"/>
              <w:jc w:val="center"/>
              <w:rPr>
                <w:b/>
                <w:sz w:val="18"/>
                <w:szCs w:val="18"/>
              </w:rPr>
            </w:pPr>
          </w:p>
        </w:tc>
        <w:tc>
          <w:tcPr>
            <w:tcW w:w="1106" w:type="dxa"/>
            <w:vAlign w:val="center"/>
          </w:tcPr>
          <w:p>
            <w:pPr>
              <w:widowControl/>
              <w:adjustRightInd w:val="0"/>
              <w:snapToGrid w:val="0"/>
              <w:spacing w:line="240" w:lineRule="auto"/>
              <w:ind w:firstLine="0" w:firstLineChars="0"/>
              <w:jc w:val="center"/>
              <w:rPr>
                <w:b/>
                <w:sz w:val="18"/>
                <w:szCs w:val="18"/>
              </w:rPr>
            </w:pPr>
            <w:r>
              <w:rPr>
                <w:rFonts w:hint="eastAsia"/>
                <w:b/>
                <w:sz w:val="18"/>
                <w:szCs w:val="18"/>
              </w:rPr>
              <w:t>2.09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55" w:hRule="atLeast"/>
          <w:jc w:val="center"/>
        </w:trPr>
        <w:tc>
          <w:tcPr>
            <w:tcW w:w="658" w:type="dxa"/>
            <w:gridSpan w:val="2"/>
            <w:vMerge w:val="continue"/>
            <w:vAlign w:val="center"/>
          </w:tcPr>
          <w:p>
            <w:pPr>
              <w:adjustRightInd w:val="0"/>
              <w:snapToGrid w:val="0"/>
              <w:spacing w:line="240" w:lineRule="auto"/>
              <w:ind w:firstLine="0" w:firstLineChars="0"/>
              <w:jc w:val="center"/>
              <w:rPr>
                <w:b/>
                <w:sz w:val="18"/>
                <w:szCs w:val="18"/>
              </w:rPr>
            </w:pPr>
          </w:p>
        </w:tc>
        <w:tc>
          <w:tcPr>
            <w:tcW w:w="1809" w:type="dxa"/>
            <w:vAlign w:val="center"/>
          </w:tcPr>
          <w:p>
            <w:pPr>
              <w:adjustRightInd w:val="0"/>
              <w:snapToGrid w:val="0"/>
              <w:spacing w:line="240" w:lineRule="auto"/>
              <w:ind w:firstLine="0" w:firstLineChars="0"/>
              <w:jc w:val="center"/>
              <w:rPr>
                <w:b/>
                <w:spacing w:val="20"/>
                <w:sz w:val="18"/>
                <w:szCs w:val="18"/>
              </w:rPr>
            </w:pPr>
            <w:r>
              <w:rPr>
                <w:rFonts w:hint="eastAsia"/>
                <w:b/>
                <w:sz w:val="18"/>
                <w:szCs w:val="18"/>
              </w:rPr>
              <w:t>化学需氧量</w:t>
            </w:r>
          </w:p>
        </w:tc>
        <w:tc>
          <w:tcPr>
            <w:tcW w:w="1102" w:type="dxa"/>
            <w:vAlign w:val="center"/>
          </w:tcPr>
          <w:p>
            <w:pPr>
              <w:adjustRightInd w:val="0"/>
              <w:snapToGrid w:val="0"/>
              <w:spacing w:line="240" w:lineRule="auto"/>
              <w:ind w:firstLine="0" w:firstLineChars="0"/>
              <w:jc w:val="center"/>
              <w:rPr>
                <w:rFonts w:ascii="宋体" w:hAnsi="宋体" w:cs="宋体"/>
                <w:b/>
                <w:sz w:val="18"/>
                <w:szCs w:val="18"/>
              </w:rPr>
            </w:pPr>
          </w:p>
        </w:tc>
        <w:tc>
          <w:tcPr>
            <w:tcW w:w="1214" w:type="dxa"/>
            <w:gridSpan w:val="2"/>
            <w:vAlign w:val="center"/>
          </w:tcPr>
          <w:p>
            <w:pPr>
              <w:widowControl/>
              <w:adjustRightInd w:val="0"/>
              <w:snapToGrid w:val="0"/>
              <w:spacing w:line="240" w:lineRule="auto"/>
              <w:ind w:firstLine="0" w:firstLineChars="0"/>
              <w:jc w:val="center"/>
              <w:rPr>
                <w:rFonts w:ascii="宋体" w:hAnsi="宋体" w:cs="宋体"/>
                <w:b/>
                <w:sz w:val="18"/>
                <w:szCs w:val="18"/>
              </w:rPr>
            </w:pPr>
            <w:r>
              <w:rPr>
                <w:rFonts w:hint="eastAsia" w:ascii="宋体" w:hAnsi="宋体" w:cs="宋体"/>
                <w:b/>
                <w:sz w:val="18"/>
                <w:szCs w:val="18"/>
              </w:rPr>
              <w:t>338</w:t>
            </w:r>
          </w:p>
        </w:tc>
        <w:tc>
          <w:tcPr>
            <w:tcW w:w="1110" w:type="dxa"/>
            <w:gridSpan w:val="4"/>
            <w:vAlign w:val="center"/>
          </w:tcPr>
          <w:p>
            <w:pPr>
              <w:widowControl/>
              <w:adjustRightInd w:val="0"/>
              <w:snapToGrid w:val="0"/>
              <w:spacing w:line="240" w:lineRule="auto"/>
              <w:ind w:firstLine="0" w:firstLineChars="0"/>
              <w:jc w:val="center"/>
              <w:rPr>
                <w:rFonts w:ascii="宋体" w:hAnsi="宋体" w:cs="宋体"/>
                <w:b/>
                <w:sz w:val="18"/>
                <w:szCs w:val="18"/>
              </w:rPr>
            </w:pPr>
            <w:r>
              <w:rPr>
                <w:rFonts w:hint="eastAsia" w:ascii="宋体" w:hAnsi="宋体" w:cs="宋体"/>
                <w:b/>
                <w:sz w:val="18"/>
                <w:szCs w:val="18"/>
              </w:rPr>
              <w:t>500</w:t>
            </w:r>
          </w:p>
        </w:tc>
        <w:tc>
          <w:tcPr>
            <w:tcW w:w="984" w:type="dxa"/>
            <w:gridSpan w:val="3"/>
            <w:vAlign w:val="center"/>
          </w:tcPr>
          <w:p>
            <w:pPr>
              <w:widowControl/>
              <w:adjustRightInd w:val="0"/>
              <w:snapToGrid w:val="0"/>
              <w:spacing w:line="240" w:lineRule="auto"/>
              <w:ind w:firstLine="0" w:firstLineChars="0"/>
              <w:jc w:val="center"/>
              <w:rPr>
                <w:b/>
                <w:sz w:val="18"/>
                <w:szCs w:val="18"/>
              </w:rPr>
            </w:pPr>
          </w:p>
        </w:tc>
        <w:tc>
          <w:tcPr>
            <w:tcW w:w="1102" w:type="dxa"/>
            <w:gridSpan w:val="2"/>
            <w:vAlign w:val="center"/>
          </w:tcPr>
          <w:p>
            <w:pPr>
              <w:widowControl/>
              <w:adjustRightInd w:val="0"/>
              <w:snapToGrid w:val="0"/>
              <w:spacing w:line="240" w:lineRule="auto"/>
              <w:ind w:firstLine="0" w:firstLineChars="0"/>
              <w:jc w:val="center"/>
              <w:rPr>
                <w:b/>
                <w:sz w:val="18"/>
                <w:szCs w:val="18"/>
              </w:rPr>
            </w:pPr>
          </w:p>
        </w:tc>
        <w:tc>
          <w:tcPr>
            <w:tcW w:w="1102" w:type="dxa"/>
            <w:vAlign w:val="center"/>
          </w:tcPr>
          <w:p>
            <w:pPr>
              <w:widowControl/>
              <w:adjustRightInd w:val="0"/>
              <w:snapToGrid w:val="0"/>
              <w:spacing w:line="240" w:lineRule="auto"/>
              <w:ind w:firstLine="0" w:firstLineChars="0"/>
              <w:jc w:val="center"/>
              <w:rPr>
                <w:b/>
                <w:sz w:val="18"/>
                <w:szCs w:val="18"/>
              </w:rPr>
            </w:pPr>
            <w:r>
              <w:rPr>
                <w:rFonts w:hint="eastAsia"/>
                <w:b/>
                <w:sz w:val="18"/>
                <w:szCs w:val="18"/>
              </w:rPr>
              <w:t>6.85</w:t>
            </w:r>
          </w:p>
        </w:tc>
        <w:tc>
          <w:tcPr>
            <w:tcW w:w="1283" w:type="dxa"/>
            <w:gridSpan w:val="2"/>
            <w:vAlign w:val="center"/>
          </w:tcPr>
          <w:p>
            <w:pPr>
              <w:widowControl/>
              <w:adjustRightInd w:val="0"/>
              <w:snapToGrid w:val="0"/>
              <w:spacing w:line="240" w:lineRule="auto"/>
              <w:ind w:firstLine="0" w:firstLineChars="0"/>
              <w:jc w:val="center"/>
              <w:rPr>
                <w:b/>
                <w:sz w:val="18"/>
                <w:szCs w:val="18"/>
              </w:rPr>
            </w:pPr>
          </w:p>
        </w:tc>
        <w:tc>
          <w:tcPr>
            <w:tcW w:w="922" w:type="dxa"/>
            <w:vAlign w:val="center"/>
          </w:tcPr>
          <w:p>
            <w:pPr>
              <w:widowControl/>
              <w:adjustRightInd w:val="0"/>
              <w:snapToGrid w:val="0"/>
              <w:spacing w:line="240" w:lineRule="auto"/>
              <w:ind w:firstLine="0" w:firstLineChars="0"/>
              <w:jc w:val="center"/>
              <w:rPr>
                <w:b/>
                <w:sz w:val="18"/>
                <w:szCs w:val="18"/>
              </w:rPr>
            </w:pPr>
          </w:p>
        </w:tc>
        <w:tc>
          <w:tcPr>
            <w:tcW w:w="1238" w:type="dxa"/>
            <w:gridSpan w:val="3"/>
            <w:vAlign w:val="center"/>
          </w:tcPr>
          <w:p>
            <w:pPr>
              <w:widowControl/>
              <w:adjustRightInd w:val="0"/>
              <w:snapToGrid w:val="0"/>
              <w:spacing w:line="240" w:lineRule="auto"/>
              <w:ind w:firstLine="0" w:firstLineChars="0"/>
              <w:jc w:val="center"/>
              <w:rPr>
                <w:b/>
                <w:sz w:val="18"/>
                <w:szCs w:val="18"/>
              </w:rPr>
            </w:pPr>
            <w:r>
              <w:rPr>
                <w:rFonts w:hint="eastAsia"/>
                <w:b/>
                <w:sz w:val="18"/>
                <w:szCs w:val="18"/>
              </w:rPr>
              <w:t>6.85</w:t>
            </w:r>
          </w:p>
        </w:tc>
        <w:tc>
          <w:tcPr>
            <w:tcW w:w="968" w:type="dxa"/>
            <w:gridSpan w:val="2"/>
            <w:vAlign w:val="center"/>
          </w:tcPr>
          <w:p>
            <w:pPr>
              <w:widowControl/>
              <w:adjustRightInd w:val="0"/>
              <w:snapToGrid w:val="0"/>
              <w:spacing w:line="240" w:lineRule="auto"/>
              <w:ind w:firstLine="0" w:firstLineChars="0"/>
              <w:jc w:val="center"/>
              <w:rPr>
                <w:b/>
                <w:sz w:val="18"/>
                <w:szCs w:val="18"/>
              </w:rPr>
            </w:pPr>
          </w:p>
        </w:tc>
        <w:tc>
          <w:tcPr>
            <w:tcW w:w="1102" w:type="dxa"/>
            <w:gridSpan w:val="2"/>
            <w:vAlign w:val="center"/>
          </w:tcPr>
          <w:p>
            <w:pPr>
              <w:widowControl/>
              <w:adjustRightInd w:val="0"/>
              <w:snapToGrid w:val="0"/>
              <w:spacing w:line="240" w:lineRule="auto"/>
              <w:ind w:firstLine="0" w:firstLineChars="0"/>
              <w:jc w:val="center"/>
              <w:rPr>
                <w:b/>
                <w:sz w:val="18"/>
                <w:szCs w:val="18"/>
              </w:rPr>
            </w:pPr>
          </w:p>
        </w:tc>
        <w:tc>
          <w:tcPr>
            <w:tcW w:w="1106" w:type="dxa"/>
            <w:vAlign w:val="center"/>
          </w:tcPr>
          <w:p>
            <w:pPr>
              <w:widowControl/>
              <w:adjustRightInd w:val="0"/>
              <w:snapToGrid w:val="0"/>
              <w:spacing w:line="240" w:lineRule="auto"/>
              <w:ind w:firstLine="0" w:firstLineChars="0"/>
              <w:jc w:val="center"/>
              <w:rPr>
                <w:b/>
                <w:sz w:val="18"/>
                <w:szCs w:val="18"/>
              </w:rPr>
            </w:pPr>
            <w:r>
              <w:rPr>
                <w:rFonts w:hint="eastAsia"/>
                <w:b/>
                <w:sz w:val="18"/>
                <w:szCs w:val="18"/>
              </w:rPr>
              <w:t>6.85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55" w:hRule="atLeast"/>
          <w:jc w:val="center"/>
        </w:trPr>
        <w:tc>
          <w:tcPr>
            <w:tcW w:w="658" w:type="dxa"/>
            <w:gridSpan w:val="2"/>
            <w:vMerge w:val="continue"/>
            <w:vAlign w:val="center"/>
          </w:tcPr>
          <w:p>
            <w:pPr>
              <w:adjustRightInd w:val="0"/>
              <w:snapToGrid w:val="0"/>
              <w:spacing w:line="240" w:lineRule="auto"/>
              <w:ind w:firstLine="0" w:firstLineChars="0"/>
              <w:jc w:val="center"/>
              <w:rPr>
                <w:b/>
                <w:sz w:val="18"/>
                <w:szCs w:val="18"/>
              </w:rPr>
            </w:pPr>
          </w:p>
        </w:tc>
        <w:tc>
          <w:tcPr>
            <w:tcW w:w="1809" w:type="dxa"/>
            <w:vAlign w:val="center"/>
          </w:tcPr>
          <w:p>
            <w:pPr>
              <w:adjustRightInd w:val="0"/>
              <w:snapToGrid w:val="0"/>
              <w:spacing w:line="240" w:lineRule="auto"/>
              <w:ind w:firstLine="0" w:firstLineChars="0"/>
              <w:jc w:val="center"/>
              <w:rPr>
                <w:b/>
                <w:spacing w:val="20"/>
                <w:sz w:val="18"/>
                <w:szCs w:val="18"/>
              </w:rPr>
            </w:pPr>
            <w:r>
              <w:rPr>
                <w:rFonts w:hint="eastAsia"/>
                <w:b/>
                <w:sz w:val="18"/>
                <w:szCs w:val="18"/>
              </w:rPr>
              <w:t>氨氮</w:t>
            </w:r>
          </w:p>
        </w:tc>
        <w:tc>
          <w:tcPr>
            <w:tcW w:w="1102" w:type="dxa"/>
            <w:vAlign w:val="center"/>
          </w:tcPr>
          <w:p>
            <w:pPr>
              <w:adjustRightInd w:val="0"/>
              <w:snapToGrid w:val="0"/>
              <w:spacing w:line="240" w:lineRule="auto"/>
              <w:ind w:firstLine="0" w:firstLineChars="0"/>
              <w:jc w:val="center"/>
              <w:rPr>
                <w:rFonts w:ascii="宋体" w:hAnsi="宋体" w:cs="宋体"/>
                <w:b/>
                <w:sz w:val="18"/>
                <w:szCs w:val="18"/>
              </w:rPr>
            </w:pPr>
          </w:p>
        </w:tc>
        <w:tc>
          <w:tcPr>
            <w:tcW w:w="1214" w:type="dxa"/>
            <w:gridSpan w:val="2"/>
            <w:vAlign w:val="center"/>
          </w:tcPr>
          <w:p>
            <w:pPr>
              <w:widowControl/>
              <w:adjustRightInd w:val="0"/>
              <w:snapToGrid w:val="0"/>
              <w:spacing w:line="240" w:lineRule="auto"/>
              <w:ind w:firstLine="0" w:firstLineChars="0"/>
              <w:jc w:val="center"/>
              <w:rPr>
                <w:rFonts w:ascii="宋体" w:hAnsi="宋体" w:cs="宋体"/>
                <w:b/>
                <w:sz w:val="18"/>
                <w:szCs w:val="18"/>
              </w:rPr>
            </w:pPr>
            <w:r>
              <w:rPr>
                <w:rFonts w:hint="eastAsia" w:ascii="宋体" w:hAnsi="宋体" w:cs="宋体"/>
                <w:b/>
                <w:sz w:val="18"/>
                <w:szCs w:val="18"/>
              </w:rPr>
              <w:t>20.3</w:t>
            </w:r>
          </w:p>
        </w:tc>
        <w:tc>
          <w:tcPr>
            <w:tcW w:w="1110" w:type="dxa"/>
            <w:gridSpan w:val="4"/>
            <w:vAlign w:val="center"/>
          </w:tcPr>
          <w:p>
            <w:pPr>
              <w:widowControl/>
              <w:adjustRightInd w:val="0"/>
              <w:snapToGrid w:val="0"/>
              <w:spacing w:line="240" w:lineRule="auto"/>
              <w:ind w:firstLine="0" w:firstLineChars="0"/>
              <w:jc w:val="center"/>
              <w:rPr>
                <w:rFonts w:ascii="宋体" w:hAnsi="宋体" w:cs="宋体"/>
                <w:b/>
                <w:sz w:val="18"/>
                <w:szCs w:val="18"/>
              </w:rPr>
            </w:pPr>
            <w:r>
              <w:rPr>
                <w:rFonts w:hint="eastAsia" w:ascii="宋体" w:hAnsi="宋体" w:cs="宋体"/>
                <w:b/>
                <w:sz w:val="18"/>
                <w:szCs w:val="18"/>
              </w:rPr>
              <w:t>45</w:t>
            </w:r>
          </w:p>
        </w:tc>
        <w:tc>
          <w:tcPr>
            <w:tcW w:w="984" w:type="dxa"/>
            <w:gridSpan w:val="3"/>
            <w:vAlign w:val="center"/>
          </w:tcPr>
          <w:p>
            <w:pPr>
              <w:widowControl/>
              <w:adjustRightInd w:val="0"/>
              <w:snapToGrid w:val="0"/>
              <w:spacing w:line="240" w:lineRule="auto"/>
              <w:ind w:firstLine="0" w:firstLineChars="0"/>
              <w:jc w:val="center"/>
              <w:rPr>
                <w:b/>
                <w:sz w:val="18"/>
                <w:szCs w:val="18"/>
              </w:rPr>
            </w:pPr>
          </w:p>
        </w:tc>
        <w:tc>
          <w:tcPr>
            <w:tcW w:w="1102" w:type="dxa"/>
            <w:gridSpan w:val="2"/>
            <w:vAlign w:val="center"/>
          </w:tcPr>
          <w:p>
            <w:pPr>
              <w:widowControl/>
              <w:adjustRightInd w:val="0"/>
              <w:snapToGrid w:val="0"/>
              <w:spacing w:line="240" w:lineRule="auto"/>
              <w:ind w:firstLine="0" w:firstLineChars="0"/>
              <w:jc w:val="center"/>
              <w:rPr>
                <w:b/>
                <w:sz w:val="18"/>
                <w:szCs w:val="18"/>
              </w:rPr>
            </w:pPr>
          </w:p>
        </w:tc>
        <w:tc>
          <w:tcPr>
            <w:tcW w:w="1102" w:type="dxa"/>
            <w:vAlign w:val="center"/>
          </w:tcPr>
          <w:p>
            <w:pPr>
              <w:widowControl/>
              <w:adjustRightInd w:val="0"/>
              <w:snapToGrid w:val="0"/>
              <w:spacing w:line="240" w:lineRule="auto"/>
              <w:ind w:firstLine="0" w:firstLineChars="0"/>
              <w:jc w:val="center"/>
              <w:rPr>
                <w:b/>
                <w:sz w:val="18"/>
                <w:szCs w:val="18"/>
              </w:rPr>
            </w:pPr>
            <w:r>
              <w:rPr>
                <w:rFonts w:hint="eastAsia"/>
                <w:b/>
                <w:sz w:val="18"/>
                <w:szCs w:val="18"/>
              </w:rPr>
              <w:t>0.39</w:t>
            </w:r>
          </w:p>
        </w:tc>
        <w:tc>
          <w:tcPr>
            <w:tcW w:w="1283" w:type="dxa"/>
            <w:gridSpan w:val="2"/>
            <w:vAlign w:val="center"/>
          </w:tcPr>
          <w:p>
            <w:pPr>
              <w:widowControl/>
              <w:adjustRightInd w:val="0"/>
              <w:snapToGrid w:val="0"/>
              <w:spacing w:line="240" w:lineRule="auto"/>
              <w:ind w:firstLine="0" w:firstLineChars="0"/>
              <w:jc w:val="center"/>
              <w:rPr>
                <w:b/>
                <w:sz w:val="18"/>
                <w:szCs w:val="18"/>
              </w:rPr>
            </w:pPr>
          </w:p>
        </w:tc>
        <w:tc>
          <w:tcPr>
            <w:tcW w:w="922" w:type="dxa"/>
            <w:vAlign w:val="center"/>
          </w:tcPr>
          <w:p>
            <w:pPr>
              <w:widowControl/>
              <w:adjustRightInd w:val="0"/>
              <w:snapToGrid w:val="0"/>
              <w:spacing w:line="240" w:lineRule="auto"/>
              <w:ind w:firstLine="0" w:firstLineChars="0"/>
              <w:jc w:val="center"/>
              <w:rPr>
                <w:b/>
                <w:sz w:val="18"/>
                <w:szCs w:val="18"/>
              </w:rPr>
            </w:pPr>
          </w:p>
        </w:tc>
        <w:tc>
          <w:tcPr>
            <w:tcW w:w="1238" w:type="dxa"/>
            <w:gridSpan w:val="3"/>
            <w:vAlign w:val="center"/>
          </w:tcPr>
          <w:p>
            <w:pPr>
              <w:widowControl/>
              <w:adjustRightInd w:val="0"/>
              <w:snapToGrid w:val="0"/>
              <w:spacing w:line="240" w:lineRule="auto"/>
              <w:ind w:firstLine="0" w:firstLineChars="0"/>
              <w:jc w:val="center"/>
              <w:rPr>
                <w:b/>
                <w:sz w:val="18"/>
                <w:szCs w:val="18"/>
              </w:rPr>
            </w:pPr>
            <w:r>
              <w:rPr>
                <w:rFonts w:hint="eastAsia"/>
                <w:b/>
                <w:sz w:val="18"/>
                <w:szCs w:val="18"/>
              </w:rPr>
              <w:t>0.39</w:t>
            </w:r>
          </w:p>
        </w:tc>
        <w:tc>
          <w:tcPr>
            <w:tcW w:w="968" w:type="dxa"/>
            <w:gridSpan w:val="2"/>
            <w:vAlign w:val="center"/>
          </w:tcPr>
          <w:p>
            <w:pPr>
              <w:widowControl/>
              <w:adjustRightInd w:val="0"/>
              <w:snapToGrid w:val="0"/>
              <w:spacing w:line="240" w:lineRule="auto"/>
              <w:ind w:firstLine="0" w:firstLineChars="0"/>
              <w:jc w:val="center"/>
              <w:rPr>
                <w:b/>
                <w:sz w:val="18"/>
                <w:szCs w:val="18"/>
              </w:rPr>
            </w:pPr>
          </w:p>
        </w:tc>
        <w:tc>
          <w:tcPr>
            <w:tcW w:w="1102" w:type="dxa"/>
            <w:gridSpan w:val="2"/>
            <w:vAlign w:val="center"/>
          </w:tcPr>
          <w:p>
            <w:pPr>
              <w:widowControl/>
              <w:adjustRightInd w:val="0"/>
              <w:snapToGrid w:val="0"/>
              <w:spacing w:line="240" w:lineRule="auto"/>
              <w:ind w:firstLine="0" w:firstLineChars="0"/>
              <w:jc w:val="center"/>
              <w:rPr>
                <w:b/>
                <w:sz w:val="18"/>
                <w:szCs w:val="18"/>
              </w:rPr>
            </w:pPr>
          </w:p>
        </w:tc>
        <w:tc>
          <w:tcPr>
            <w:tcW w:w="1106" w:type="dxa"/>
            <w:vAlign w:val="center"/>
          </w:tcPr>
          <w:p>
            <w:pPr>
              <w:widowControl/>
              <w:adjustRightInd w:val="0"/>
              <w:snapToGrid w:val="0"/>
              <w:spacing w:line="240" w:lineRule="auto"/>
              <w:ind w:firstLine="0" w:firstLineChars="0"/>
              <w:jc w:val="center"/>
              <w:rPr>
                <w:b/>
                <w:sz w:val="18"/>
                <w:szCs w:val="18"/>
              </w:rPr>
            </w:pPr>
            <w:r>
              <w:rPr>
                <w:rFonts w:hint="eastAsia"/>
                <w:b/>
                <w:sz w:val="18"/>
                <w:szCs w:val="18"/>
              </w:rPr>
              <w:t>0.39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55" w:hRule="atLeast"/>
          <w:jc w:val="center"/>
        </w:trPr>
        <w:tc>
          <w:tcPr>
            <w:tcW w:w="658" w:type="dxa"/>
            <w:gridSpan w:val="2"/>
            <w:vMerge w:val="continue"/>
            <w:vAlign w:val="center"/>
          </w:tcPr>
          <w:p>
            <w:pPr>
              <w:adjustRightInd w:val="0"/>
              <w:snapToGrid w:val="0"/>
              <w:spacing w:line="240" w:lineRule="auto"/>
              <w:ind w:firstLine="0" w:firstLineChars="0"/>
              <w:rPr>
                <w:b/>
                <w:sz w:val="18"/>
                <w:szCs w:val="18"/>
              </w:rPr>
            </w:pPr>
          </w:p>
        </w:tc>
        <w:tc>
          <w:tcPr>
            <w:tcW w:w="1809" w:type="dxa"/>
            <w:vAlign w:val="center"/>
          </w:tcPr>
          <w:p>
            <w:pPr>
              <w:adjustRightInd w:val="0"/>
              <w:snapToGrid w:val="0"/>
              <w:spacing w:line="240" w:lineRule="auto"/>
              <w:ind w:firstLine="0" w:firstLineChars="0"/>
              <w:jc w:val="center"/>
              <w:rPr>
                <w:b/>
                <w:spacing w:val="20"/>
                <w:sz w:val="18"/>
                <w:szCs w:val="18"/>
              </w:rPr>
            </w:pPr>
            <w:r>
              <w:rPr>
                <w:rFonts w:hint="eastAsia"/>
                <w:b/>
                <w:sz w:val="18"/>
                <w:szCs w:val="18"/>
              </w:rPr>
              <w:t>废气</w:t>
            </w:r>
          </w:p>
        </w:tc>
        <w:tc>
          <w:tcPr>
            <w:tcW w:w="1102" w:type="dxa"/>
            <w:vAlign w:val="center"/>
          </w:tcPr>
          <w:p>
            <w:pPr>
              <w:adjustRightInd w:val="0"/>
              <w:snapToGrid w:val="0"/>
              <w:spacing w:line="240" w:lineRule="auto"/>
              <w:ind w:firstLine="0" w:firstLineChars="0"/>
              <w:jc w:val="center"/>
              <w:rPr>
                <w:b/>
                <w:sz w:val="18"/>
                <w:szCs w:val="18"/>
              </w:rPr>
            </w:pPr>
          </w:p>
        </w:tc>
        <w:tc>
          <w:tcPr>
            <w:tcW w:w="1214" w:type="dxa"/>
            <w:gridSpan w:val="2"/>
            <w:vAlign w:val="center"/>
          </w:tcPr>
          <w:p>
            <w:pPr>
              <w:widowControl/>
              <w:adjustRightInd w:val="0"/>
              <w:snapToGrid w:val="0"/>
              <w:spacing w:line="240" w:lineRule="auto"/>
              <w:ind w:firstLine="0" w:firstLineChars="0"/>
              <w:jc w:val="center"/>
              <w:rPr>
                <w:b/>
                <w:sz w:val="18"/>
                <w:szCs w:val="18"/>
              </w:rPr>
            </w:pPr>
          </w:p>
        </w:tc>
        <w:tc>
          <w:tcPr>
            <w:tcW w:w="1110" w:type="dxa"/>
            <w:gridSpan w:val="4"/>
            <w:vAlign w:val="center"/>
          </w:tcPr>
          <w:p>
            <w:pPr>
              <w:widowControl/>
              <w:adjustRightInd w:val="0"/>
              <w:snapToGrid w:val="0"/>
              <w:spacing w:line="240" w:lineRule="auto"/>
              <w:ind w:firstLine="0" w:firstLineChars="0"/>
              <w:jc w:val="center"/>
              <w:rPr>
                <w:b/>
                <w:sz w:val="18"/>
                <w:szCs w:val="18"/>
              </w:rPr>
            </w:pPr>
          </w:p>
        </w:tc>
        <w:tc>
          <w:tcPr>
            <w:tcW w:w="984" w:type="dxa"/>
            <w:gridSpan w:val="3"/>
            <w:vAlign w:val="center"/>
          </w:tcPr>
          <w:p>
            <w:pPr>
              <w:widowControl/>
              <w:adjustRightInd w:val="0"/>
              <w:snapToGrid w:val="0"/>
              <w:spacing w:line="240" w:lineRule="auto"/>
              <w:ind w:firstLine="0" w:firstLineChars="0"/>
              <w:jc w:val="center"/>
              <w:rPr>
                <w:b/>
                <w:sz w:val="18"/>
                <w:szCs w:val="18"/>
              </w:rPr>
            </w:pPr>
          </w:p>
        </w:tc>
        <w:tc>
          <w:tcPr>
            <w:tcW w:w="1102" w:type="dxa"/>
            <w:gridSpan w:val="2"/>
            <w:vAlign w:val="center"/>
          </w:tcPr>
          <w:p>
            <w:pPr>
              <w:widowControl/>
              <w:adjustRightInd w:val="0"/>
              <w:snapToGrid w:val="0"/>
              <w:spacing w:line="240" w:lineRule="auto"/>
              <w:ind w:firstLine="0" w:firstLineChars="0"/>
              <w:jc w:val="center"/>
              <w:rPr>
                <w:b/>
                <w:sz w:val="18"/>
                <w:szCs w:val="18"/>
              </w:rPr>
            </w:pPr>
          </w:p>
        </w:tc>
        <w:tc>
          <w:tcPr>
            <w:tcW w:w="1102" w:type="dxa"/>
            <w:vAlign w:val="center"/>
          </w:tcPr>
          <w:p>
            <w:pPr>
              <w:widowControl/>
              <w:adjustRightInd w:val="0"/>
              <w:snapToGrid w:val="0"/>
              <w:spacing w:line="240" w:lineRule="auto"/>
              <w:ind w:firstLine="0" w:firstLineChars="0"/>
              <w:rPr>
                <w:b/>
                <w:sz w:val="18"/>
                <w:szCs w:val="18"/>
              </w:rPr>
            </w:pPr>
          </w:p>
        </w:tc>
        <w:tc>
          <w:tcPr>
            <w:tcW w:w="1283" w:type="dxa"/>
            <w:gridSpan w:val="2"/>
            <w:vAlign w:val="center"/>
          </w:tcPr>
          <w:p>
            <w:pPr>
              <w:widowControl/>
              <w:adjustRightInd w:val="0"/>
              <w:snapToGrid w:val="0"/>
              <w:spacing w:line="240" w:lineRule="auto"/>
              <w:ind w:firstLine="0" w:firstLineChars="0"/>
              <w:rPr>
                <w:b/>
                <w:sz w:val="18"/>
                <w:szCs w:val="18"/>
              </w:rPr>
            </w:pPr>
          </w:p>
        </w:tc>
        <w:tc>
          <w:tcPr>
            <w:tcW w:w="922" w:type="dxa"/>
            <w:vAlign w:val="center"/>
          </w:tcPr>
          <w:p>
            <w:pPr>
              <w:widowControl/>
              <w:adjustRightInd w:val="0"/>
              <w:snapToGrid w:val="0"/>
              <w:spacing w:line="240" w:lineRule="auto"/>
              <w:ind w:firstLine="0" w:firstLineChars="0"/>
              <w:rPr>
                <w:b/>
                <w:sz w:val="18"/>
                <w:szCs w:val="18"/>
              </w:rPr>
            </w:pPr>
          </w:p>
        </w:tc>
        <w:tc>
          <w:tcPr>
            <w:tcW w:w="1238" w:type="dxa"/>
            <w:gridSpan w:val="3"/>
            <w:vAlign w:val="center"/>
          </w:tcPr>
          <w:p>
            <w:pPr>
              <w:widowControl/>
              <w:adjustRightInd w:val="0"/>
              <w:snapToGrid w:val="0"/>
              <w:spacing w:line="240" w:lineRule="auto"/>
              <w:ind w:firstLine="0" w:firstLineChars="0"/>
              <w:rPr>
                <w:b/>
                <w:sz w:val="18"/>
                <w:szCs w:val="18"/>
              </w:rPr>
            </w:pPr>
          </w:p>
        </w:tc>
        <w:tc>
          <w:tcPr>
            <w:tcW w:w="968" w:type="dxa"/>
            <w:gridSpan w:val="2"/>
            <w:vAlign w:val="center"/>
          </w:tcPr>
          <w:p>
            <w:pPr>
              <w:widowControl/>
              <w:adjustRightInd w:val="0"/>
              <w:snapToGrid w:val="0"/>
              <w:spacing w:line="240" w:lineRule="auto"/>
              <w:ind w:firstLine="0" w:firstLineChars="0"/>
              <w:rPr>
                <w:b/>
                <w:sz w:val="18"/>
                <w:szCs w:val="18"/>
              </w:rPr>
            </w:pPr>
          </w:p>
        </w:tc>
        <w:tc>
          <w:tcPr>
            <w:tcW w:w="1102" w:type="dxa"/>
            <w:gridSpan w:val="2"/>
            <w:vAlign w:val="center"/>
          </w:tcPr>
          <w:p>
            <w:pPr>
              <w:widowControl/>
              <w:adjustRightInd w:val="0"/>
              <w:snapToGrid w:val="0"/>
              <w:spacing w:line="240" w:lineRule="auto"/>
              <w:ind w:firstLine="0" w:firstLineChars="0"/>
              <w:rPr>
                <w:b/>
                <w:sz w:val="18"/>
                <w:szCs w:val="18"/>
              </w:rPr>
            </w:pPr>
          </w:p>
        </w:tc>
        <w:tc>
          <w:tcPr>
            <w:tcW w:w="1106" w:type="dxa"/>
            <w:vAlign w:val="center"/>
          </w:tcPr>
          <w:p>
            <w:pPr>
              <w:widowControl/>
              <w:adjustRightInd w:val="0"/>
              <w:snapToGrid w:val="0"/>
              <w:spacing w:line="240" w:lineRule="auto"/>
              <w:ind w:firstLine="0" w:firstLineChars="0"/>
              <w:rPr>
                <w:b/>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50" w:hRule="atLeast"/>
          <w:jc w:val="center"/>
        </w:trPr>
        <w:tc>
          <w:tcPr>
            <w:tcW w:w="658" w:type="dxa"/>
            <w:gridSpan w:val="2"/>
            <w:vMerge w:val="continue"/>
            <w:vAlign w:val="center"/>
          </w:tcPr>
          <w:p>
            <w:pPr>
              <w:adjustRightInd w:val="0"/>
              <w:snapToGrid w:val="0"/>
              <w:spacing w:line="240" w:lineRule="auto"/>
              <w:ind w:firstLine="0" w:firstLineChars="0"/>
              <w:rPr>
                <w:b/>
                <w:sz w:val="18"/>
                <w:szCs w:val="18"/>
              </w:rPr>
            </w:pPr>
          </w:p>
        </w:tc>
        <w:tc>
          <w:tcPr>
            <w:tcW w:w="1809" w:type="dxa"/>
            <w:vAlign w:val="center"/>
          </w:tcPr>
          <w:p>
            <w:pPr>
              <w:adjustRightInd w:val="0"/>
              <w:snapToGrid w:val="0"/>
              <w:spacing w:line="240" w:lineRule="auto"/>
              <w:ind w:firstLine="0" w:firstLineChars="0"/>
              <w:jc w:val="center"/>
              <w:rPr>
                <w:b/>
                <w:spacing w:val="20"/>
                <w:sz w:val="18"/>
                <w:szCs w:val="18"/>
              </w:rPr>
            </w:pPr>
            <w:r>
              <w:rPr>
                <w:rFonts w:hint="eastAsia"/>
                <w:b/>
                <w:spacing w:val="20"/>
                <w:sz w:val="18"/>
                <w:szCs w:val="18"/>
              </w:rPr>
              <w:t>颗粒物</w:t>
            </w:r>
          </w:p>
        </w:tc>
        <w:tc>
          <w:tcPr>
            <w:tcW w:w="1102" w:type="dxa"/>
            <w:vAlign w:val="center"/>
          </w:tcPr>
          <w:p>
            <w:pPr>
              <w:adjustRightInd w:val="0"/>
              <w:snapToGrid w:val="0"/>
              <w:spacing w:line="240" w:lineRule="auto"/>
              <w:ind w:firstLine="0" w:firstLineChars="0"/>
              <w:jc w:val="center"/>
              <w:rPr>
                <w:b/>
                <w:sz w:val="18"/>
                <w:szCs w:val="18"/>
              </w:rPr>
            </w:pPr>
          </w:p>
        </w:tc>
        <w:tc>
          <w:tcPr>
            <w:tcW w:w="1214" w:type="dxa"/>
            <w:gridSpan w:val="2"/>
            <w:vAlign w:val="center"/>
          </w:tcPr>
          <w:p>
            <w:pPr>
              <w:widowControl/>
              <w:adjustRightInd w:val="0"/>
              <w:snapToGrid w:val="0"/>
              <w:spacing w:line="240" w:lineRule="auto"/>
              <w:ind w:firstLine="0" w:firstLineChars="0"/>
              <w:jc w:val="center"/>
              <w:rPr>
                <w:b/>
                <w:sz w:val="18"/>
                <w:szCs w:val="18"/>
              </w:rPr>
            </w:pPr>
          </w:p>
        </w:tc>
        <w:tc>
          <w:tcPr>
            <w:tcW w:w="1110" w:type="dxa"/>
            <w:gridSpan w:val="4"/>
            <w:vAlign w:val="center"/>
          </w:tcPr>
          <w:p>
            <w:pPr>
              <w:widowControl/>
              <w:adjustRightInd w:val="0"/>
              <w:snapToGrid w:val="0"/>
              <w:spacing w:line="240" w:lineRule="auto"/>
              <w:ind w:firstLine="0" w:firstLineChars="0"/>
              <w:jc w:val="center"/>
              <w:rPr>
                <w:b/>
                <w:sz w:val="18"/>
                <w:szCs w:val="18"/>
              </w:rPr>
            </w:pPr>
          </w:p>
        </w:tc>
        <w:tc>
          <w:tcPr>
            <w:tcW w:w="984" w:type="dxa"/>
            <w:gridSpan w:val="3"/>
            <w:vAlign w:val="center"/>
          </w:tcPr>
          <w:p>
            <w:pPr>
              <w:widowControl/>
              <w:adjustRightInd w:val="0"/>
              <w:snapToGrid w:val="0"/>
              <w:spacing w:line="240" w:lineRule="auto"/>
              <w:ind w:firstLine="0" w:firstLineChars="0"/>
              <w:jc w:val="center"/>
              <w:rPr>
                <w:b/>
                <w:sz w:val="18"/>
                <w:szCs w:val="18"/>
              </w:rPr>
            </w:pPr>
          </w:p>
        </w:tc>
        <w:tc>
          <w:tcPr>
            <w:tcW w:w="1102" w:type="dxa"/>
            <w:gridSpan w:val="2"/>
            <w:vAlign w:val="center"/>
          </w:tcPr>
          <w:p>
            <w:pPr>
              <w:widowControl/>
              <w:adjustRightInd w:val="0"/>
              <w:snapToGrid w:val="0"/>
              <w:spacing w:line="240" w:lineRule="auto"/>
              <w:ind w:firstLine="0" w:firstLineChars="0"/>
              <w:jc w:val="center"/>
              <w:rPr>
                <w:b/>
                <w:sz w:val="18"/>
                <w:szCs w:val="18"/>
              </w:rPr>
            </w:pPr>
          </w:p>
        </w:tc>
        <w:tc>
          <w:tcPr>
            <w:tcW w:w="1102" w:type="dxa"/>
            <w:vAlign w:val="center"/>
          </w:tcPr>
          <w:p>
            <w:pPr>
              <w:widowControl/>
              <w:adjustRightInd w:val="0"/>
              <w:snapToGrid w:val="0"/>
              <w:spacing w:line="240" w:lineRule="auto"/>
              <w:ind w:firstLine="0" w:firstLineChars="0"/>
              <w:rPr>
                <w:b/>
                <w:sz w:val="18"/>
                <w:szCs w:val="18"/>
              </w:rPr>
            </w:pPr>
          </w:p>
        </w:tc>
        <w:tc>
          <w:tcPr>
            <w:tcW w:w="1283" w:type="dxa"/>
            <w:gridSpan w:val="2"/>
            <w:vAlign w:val="center"/>
          </w:tcPr>
          <w:p>
            <w:pPr>
              <w:widowControl/>
              <w:adjustRightInd w:val="0"/>
              <w:snapToGrid w:val="0"/>
              <w:spacing w:line="240" w:lineRule="auto"/>
              <w:ind w:firstLine="0" w:firstLineChars="0"/>
              <w:rPr>
                <w:b/>
                <w:sz w:val="18"/>
                <w:szCs w:val="18"/>
              </w:rPr>
            </w:pPr>
          </w:p>
        </w:tc>
        <w:tc>
          <w:tcPr>
            <w:tcW w:w="922" w:type="dxa"/>
            <w:vAlign w:val="center"/>
          </w:tcPr>
          <w:p>
            <w:pPr>
              <w:widowControl/>
              <w:adjustRightInd w:val="0"/>
              <w:snapToGrid w:val="0"/>
              <w:spacing w:line="240" w:lineRule="auto"/>
              <w:ind w:firstLine="0" w:firstLineChars="0"/>
              <w:rPr>
                <w:b/>
                <w:sz w:val="18"/>
                <w:szCs w:val="18"/>
              </w:rPr>
            </w:pPr>
          </w:p>
        </w:tc>
        <w:tc>
          <w:tcPr>
            <w:tcW w:w="1238" w:type="dxa"/>
            <w:gridSpan w:val="3"/>
            <w:vAlign w:val="center"/>
          </w:tcPr>
          <w:p>
            <w:pPr>
              <w:widowControl/>
              <w:adjustRightInd w:val="0"/>
              <w:snapToGrid w:val="0"/>
              <w:spacing w:line="240" w:lineRule="auto"/>
              <w:ind w:firstLine="0" w:firstLineChars="0"/>
              <w:rPr>
                <w:b/>
                <w:sz w:val="18"/>
                <w:szCs w:val="18"/>
              </w:rPr>
            </w:pPr>
          </w:p>
        </w:tc>
        <w:tc>
          <w:tcPr>
            <w:tcW w:w="968" w:type="dxa"/>
            <w:gridSpan w:val="2"/>
            <w:vAlign w:val="center"/>
          </w:tcPr>
          <w:p>
            <w:pPr>
              <w:widowControl/>
              <w:adjustRightInd w:val="0"/>
              <w:snapToGrid w:val="0"/>
              <w:spacing w:line="240" w:lineRule="auto"/>
              <w:ind w:firstLine="0" w:firstLineChars="0"/>
              <w:rPr>
                <w:b/>
                <w:sz w:val="18"/>
                <w:szCs w:val="18"/>
              </w:rPr>
            </w:pPr>
          </w:p>
        </w:tc>
        <w:tc>
          <w:tcPr>
            <w:tcW w:w="1102" w:type="dxa"/>
            <w:gridSpan w:val="2"/>
            <w:vAlign w:val="center"/>
          </w:tcPr>
          <w:p>
            <w:pPr>
              <w:widowControl/>
              <w:adjustRightInd w:val="0"/>
              <w:snapToGrid w:val="0"/>
              <w:spacing w:line="240" w:lineRule="auto"/>
              <w:ind w:firstLine="0" w:firstLineChars="0"/>
              <w:rPr>
                <w:b/>
                <w:sz w:val="18"/>
                <w:szCs w:val="18"/>
              </w:rPr>
            </w:pPr>
          </w:p>
        </w:tc>
        <w:tc>
          <w:tcPr>
            <w:tcW w:w="1106" w:type="dxa"/>
            <w:vAlign w:val="center"/>
          </w:tcPr>
          <w:p>
            <w:pPr>
              <w:widowControl/>
              <w:adjustRightInd w:val="0"/>
              <w:snapToGrid w:val="0"/>
              <w:spacing w:line="240" w:lineRule="auto"/>
              <w:ind w:firstLine="0" w:firstLineChars="0"/>
              <w:rPr>
                <w:b/>
                <w:sz w:val="18"/>
                <w:szCs w:val="18"/>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105" w:hRule="atLeast"/>
          <w:jc w:val="center"/>
        </w:trPr>
        <w:tc>
          <w:tcPr>
            <w:tcW w:w="658" w:type="dxa"/>
            <w:gridSpan w:val="2"/>
            <w:vMerge w:val="continue"/>
            <w:vAlign w:val="center"/>
          </w:tcPr>
          <w:p>
            <w:pPr>
              <w:adjustRightInd w:val="0"/>
              <w:snapToGrid w:val="0"/>
              <w:spacing w:line="240" w:lineRule="auto"/>
              <w:ind w:firstLine="0" w:firstLineChars="0"/>
              <w:rPr>
                <w:b/>
                <w:sz w:val="18"/>
                <w:szCs w:val="18"/>
              </w:rPr>
            </w:pPr>
          </w:p>
        </w:tc>
        <w:tc>
          <w:tcPr>
            <w:tcW w:w="1809" w:type="dxa"/>
            <w:vAlign w:val="center"/>
          </w:tcPr>
          <w:p>
            <w:pPr>
              <w:adjustRightInd w:val="0"/>
              <w:snapToGrid w:val="0"/>
              <w:spacing w:line="240" w:lineRule="auto"/>
              <w:ind w:firstLine="0" w:firstLineChars="0"/>
              <w:jc w:val="center"/>
              <w:rPr>
                <w:b/>
                <w:sz w:val="18"/>
                <w:szCs w:val="18"/>
              </w:rPr>
            </w:pPr>
            <w:r>
              <w:rPr>
                <w:rFonts w:hint="eastAsia"/>
                <w:b/>
                <w:spacing w:val="20"/>
                <w:sz w:val="18"/>
                <w:szCs w:val="18"/>
              </w:rPr>
              <w:t>工业固体废物</w:t>
            </w:r>
          </w:p>
        </w:tc>
        <w:tc>
          <w:tcPr>
            <w:tcW w:w="1102" w:type="dxa"/>
            <w:vAlign w:val="center"/>
          </w:tcPr>
          <w:p>
            <w:pPr>
              <w:adjustRightInd w:val="0"/>
              <w:snapToGrid w:val="0"/>
              <w:spacing w:line="240" w:lineRule="auto"/>
              <w:ind w:firstLine="0" w:firstLineChars="0"/>
              <w:jc w:val="center"/>
              <w:rPr>
                <w:b/>
                <w:sz w:val="18"/>
                <w:szCs w:val="18"/>
              </w:rPr>
            </w:pPr>
          </w:p>
        </w:tc>
        <w:tc>
          <w:tcPr>
            <w:tcW w:w="1214" w:type="dxa"/>
            <w:gridSpan w:val="2"/>
            <w:vAlign w:val="center"/>
          </w:tcPr>
          <w:p>
            <w:pPr>
              <w:adjustRightInd w:val="0"/>
              <w:snapToGrid w:val="0"/>
              <w:spacing w:line="240" w:lineRule="auto"/>
              <w:ind w:firstLine="0" w:firstLineChars="0"/>
              <w:jc w:val="center"/>
              <w:rPr>
                <w:b/>
                <w:sz w:val="18"/>
                <w:szCs w:val="18"/>
              </w:rPr>
            </w:pPr>
          </w:p>
        </w:tc>
        <w:tc>
          <w:tcPr>
            <w:tcW w:w="1110" w:type="dxa"/>
            <w:gridSpan w:val="4"/>
            <w:vAlign w:val="center"/>
          </w:tcPr>
          <w:p>
            <w:pPr>
              <w:adjustRightInd w:val="0"/>
              <w:snapToGrid w:val="0"/>
              <w:spacing w:line="240" w:lineRule="auto"/>
              <w:ind w:firstLine="0" w:firstLineChars="0"/>
              <w:jc w:val="center"/>
              <w:rPr>
                <w:b/>
                <w:sz w:val="18"/>
                <w:szCs w:val="18"/>
              </w:rPr>
            </w:pPr>
          </w:p>
        </w:tc>
        <w:tc>
          <w:tcPr>
            <w:tcW w:w="984" w:type="dxa"/>
            <w:gridSpan w:val="3"/>
            <w:vAlign w:val="center"/>
          </w:tcPr>
          <w:p>
            <w:pPr>
              <w:adjustRightInd w:val="0"/>
              <w:snapToGrid w:val="0"/>
              <w:spacing w:line="240" w:lineRule="auto"/>
              <w:ind w:firstLine="0" w:firstLineChars="0"/>
              <w:jc w:val="center"/>
              <w:rPr>
                <w:b/>
                <w:sz w:val="18"/>
                <w:szCs w:val="18"/>
              </w:rPr>
            </w:pPr>
          </w:p>
        </w:tc>
        <w:tc>
          <w:tcPr>
            <w:tcW w:w="1102" w:type="dxa"/>
            <w:gridSpan w:val="2"/>
            <w:vAlign w:val="center"/>
          </w:tcPr>
          <w:p>
            <w:pPr>
              <w:adjustRightInd w:val="0"/>
              <w:snapToGrid w:val="0"/>
              <w:spacing w:line="240" w:lineRule="auto"/>
              <w:ind w:firstLine="0" w:firstLineChars="0"/>
              <w:jc w:val="center"/>
              <w:rPr>
                <w:b/>
                <w:sz w:val="18"/>
                <w:szCs w:val="18"/>
              </w:rPr>
            </w:pPr>
          </w:p>
        </w:tc>
        <w:tc>
          <w:tcPr>
            <w:tcW w:w="1102" w:type="dxa"/>
            <w:vAlign w:val="center"/>
          </w:tcPr>
          <w:p>
            <w:pPr>
              <w:adjustRightInd w:val="0"/>
              <w:snapToGrid w:val="0"/>
              <w:spacing w:line="240" w:lineRule="auto"/>
              <w:ind w:firstLine="0" w:firstLineChars="0"/>
              <w:rPr>
                <w:b/>
                <w:sz w:val="18"/>
                <w:szCs w:val="18"/>
              </w:rPr>
            </w:pPr>
          </w:p>
        </w:tc>
        <w:tc>
          <w:tcPr>
            <w:tcW w:w="1283" w:type="dxa"/>
            <w:gridSpan w:val="2"/>
          </w:tcPr>
          <w:p>
            <w:pPr>
              <w:adjustRightInd w:val="0"/>
              <w:snapToGrid w:val="0"/>
              <w:spacing w:line="240" w:lineRule="auto"/>
              <w:ind w:firstLine="0" w:firstLineChars="0"/>
              <w:rPr>
                <w:b/>
                <w:sz w:val="18"/>
                <w:szCs w:val="18"/>
              </w:rPr>
            </w:pPr>
          </w:p>
        </w:tc>
        <w:tc>
          <w:tcPr>
            <w:tcW w:w="922" w:type="dxa"/>
          </w:tcPr>
          <w:p>
            <w:pPr>
              <w:adjustRightInd w:val="0"/>
              <w:snapToGrid w:val="0"/>
              <w:spacing w:line="240" w:lineRule="auto"/>
              <w:ind w:firstLine="0" w:firstLineChars="0"/>
              <w:rPr>
                <w:b/>
                <w:sz w:val="18"/>
                <w:szCs w:val="18"/>
              </w:rPr>
            </w:pPr>
          </w:p>
        </w:tc>
        <w:tc>
          <w:tcPr>
            <w:tcW w:w="1238" w:type="dxa"/>
            <w:gridSpan w:val="3"/>
          </w:tcPr>
          <w:p>
            <w:pPr>
              <w:adjustRightInd w:val="0"/>
              <w:snapToGrid w:val="0"/>
              <w:spacing w:line="240" w:lineRule="auto"/>
              <w:ind w:firstLine="0" w:firstLineChars="0"/>
              <w:rPr>
                <w:b/>
                <w:sz w:val="18"/>
                <w:szCs w:val="18"/>
              </w:rPr>
            </w:pPr>
          </w:p>
        </w:tc>
        <w:tc>
          <w:tcPr>
            <w:tcW w:w="968" w:type="dxa"/>
            <w:gridSpan w:val="2"/>
          </w:tcPr>
          <w:p>
            <w:pPr>
              <w:adjustRightInd w:val="0"/>
              <w:snapToGrid w:val="0"/>
              <w:spacing w:line="240" w:lineRule="auto"/>
              <w:ind w:firstLine="0" w:firstLineChars="0"/>
              <w:rPr>
                <w:b/>
                <w:sz w:val="18"/>
                <w:szCs w:val="18"/>
              </w:rPr>
            </w:pPr>
          </w:p>
        </w:tc>
        <w:tc>
          <w:tcPr>
            <w:tcW w:w="1102" w:type="dxa"/>
            <w:gridSpan w:val="2"/>
          </w:tcPr>
          <w:p>
            <w:pPr>
              <w:adjustRightInd w:val="0"/>
              <w:snapToGrid w:val="0"/>
              <w:spacing w:line="240" w:lineRule="auto"/>
              <w:ind w:firstLine="0" w:firstLineChars="0"/>
              <w:rPr>
                <w:b/>
                <w:sz w:val="18"/>
                <w:szCs w:val="18"/>
              </w:rPr>
            </w:pPr>
          </w:p>
        </w:tc>
        <w:tc>
          <w:tcPr>
            <w:tcW w:w="1106" w:type="dxa"/>
          </w:tcPr>
          <w:p>
            <w:pPr>
              <w:adjustRightInd w:val="0"/>
              <w:snapToGrid w:val="0"/>
              <w:spacing w:line="240" w:lineRule="auto"/>
              <w:ind w:firstLine="0" w:firstLineChars="0"/>
              <w:rPr>
                <w:b/>
                <w:sz w:val="18"/>
                <w:szCs w:val="18"/>
              </w:rPr>
            </w:pPr>
          </w:p>
        </w:tc>
      </w:tr>
    </w:tbl>
    <w:p>
      <w:pPr>
        <w:spacing w:line="240" w:lineRule="auto"/>
        <w:ind w:firstLine="0" w:firstLineChars="0"/>
        <w:rPr>
          <w:sz w:val="18"/>
          <w:szCs w:val="18"/>
        </w:rPr>
        <w:sectPr>
          <w:pgSz w:w="16838" w:h="11906" w:orient="landscape"/>
          <w:pgMar w:top="1800" w:right="1440" w:bottom="1800" w:left="1440" w:header="851" w:footer="992" w:gutter="0"/>
          <w:cols w:space="425" w:num="1"/>
          <w:docGrid w:type="lines" w:linePitch="312" w:charSpace="0"/>
        </w:sectPr>
      </w:pPr>
      <w:r>
        <w:rPr>
          <w:rFonts w:hint="eastAsia"/>
          <w:sz w:val="18"/>
          <w:szCs w:val="18"/>
        </w:rPr>
        <w:t>注：1、排放增减量：(+)表示增加，(-)表示减少 2、(12)=(6)-(8)-(11)，(9)=(4)-(5)-(8)-(11)+(1)3、计量单位：废水排放量——万吨/年；废气排放量——万标立方米/年；工业固体废物排放量——万吨/年；水污染物排放浓度——毫克/升；大气污染物排放浓度——毫克/立方米；水污染物排放量——吨/年；大气污染物排放量--吨/年。</w:t>
      </w:r>
    </w:p>
    <w:p>
      <w:pPr>
        <w:ind w:firstLine="0" w:firstLineChars="0"/>
        <w:sectPr>
          <w:pgSz w:w="11906" w:h="16838"/>
          <w:pgMar w:top="1440" w:right="1800" w:bottom="1440" w:left="1800" w:header="851" w:footer="992" w:gutter="0"/>
          <w:cols w:space="425" w:num="1"/>
          <w:docGrid w:type="lines" w:linePitch="312" w:charSpace="0"/>
        </w:sectPr>
      </w:pPr>
    </w:p>
    <w:p>
      <w:pPr>
        <w:ind w:firstLine="0" w:firstLineChars="0"/>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 w:name="Arial">
    <w:panose1 w:val="020B0604020202020204"/>
    <w:charset w:val="00"/>
    <w:family w:val="swiss"/>
    <w:pitch w:val="default"/>
    <w:sig w:usb0="E0002AFF" w:usb1="C0007843" w:usb2="00000009" w:usb3="00000000" w:csb0="400001FF" w:csb1="FFFF0000"/>
  </w:font>
  <w:font w:name="华文仿宋">
    <w:panose1 w:val="02010600040101010101"/>
    <w:charset w:val="86"/>
    <w:family w:val="auto"/>
    <w:pitch w:val="default"/>
    <w:sig w:usb0="00000287" w:usb1="080F0000" w:usb2="00000000" w:usb3="00000000" w:csb0="0004009F" w:csb1="DFD70000"/>
  </w:font>
  <w:font w:name="方正书宋简体">
    <w:altName w:val="宋体"/>
    <w:panose1 w:val="00000000000000000000"/>
    <w:charset w:val="86"/>
    <w:family w:val="auto"/>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framePr w:wrap="around" w:vAnchor="text" w:hAnchor="margin" w:xAlign="center" w:y="1"/>
      <w:ind w:firstLine="360"/>
      <w:rPr>
        <w:rStyle w:val="18"/>
      </w:rPr>
    </w:pPr>
    <w:r>
      <w:fldChar w:fldCharType="begin"/>
    </w:r>
    <w:r>
      <w:rPr>
        <w:rStyle w:val="18"/>
      </w:rPr>
      <w:instrText xml:space="preserve">PAGE  </w:instrText>
    </w:r>
    <w:r>
      <w:fldChar w:fldCharType="end"/>
    </w:r>
  </w:p>
  <w:p>
    <w:pPr>
      <w:pStyle w:val="14"/>
      <w:ind w:right="360"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360"/>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4"/>
                            <w:ind w:firstLine="360"/>
                          </w:pPr>
                          <w:r>
                            <w:rPr>
                              <w:rFonts w:hint="eastAsia"/>
                            </w:rPr>
                            <w:fldChar w:fldCharType="begin"/>
                          </w:r>
                          <w:r>
                            <w:rPr>
                              <w:rFonts w:hint="eastAsia"/>
                            </w:rPr>
                            <w:instrText xml:space="preserve"> PAGE  \* MERGEFORMAT </w:instrText>
                          </w:r>
                          <w:r>
                            <w:rPr>
                              <w:rFonts w:hint="eastAsia"/>
                            </w:rPr>
                            <w:fldChar w:fldCharType="separate"/>
                          </w:r>
                          <w:r>
                            <w:rPr>
                              <w:rFonts w:hint="eastAsia"/>
                            </w:rPr>
                            <w:t>II</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s0lY7tAAAAAFAQAADwAAAAAAAAABACAAAAAiAAAA&#10;ZHJzL2Rvd25yZXYueG1sUEsBAhQAFAAAAAgAh07iQMuXNVEPAgAABwQAAA4AAAAAAAAAAQAgAAAA&#10;HwEAAGRycy9lMm9Eb2MueG1sUEsFBgAAAAAGAAYAWQEAAKAFAAAAAA==&#10;">
              <v:fill on="f" focussize="0,0"/>
              <v:stroke on="f" weight="0.5pt"/>
              <v:imagedata o:title=""/>
              <o:lock v:ext="edit" aspectratio="f"/>
              <v:textbox inset="0mm,0mm,0mm,0mm" style="mso-fit-shape-to-text:t;">
                <w:txbxContent>
                  <w:p>
                    <w:pPr>
                      <w:pStyle w:val="14"/>
                      <w:ind w:firstLine="360"/>
                    </w:pPr>
                    <w:r>
                      <w:rPr>
                        <w:rFonts w:hint="eastAsia"/>
                      </w:rPr>
                      <w:fldChar w:fldCharType="begin"/>
                    </w:r>
                    <w:r>
                      <w:rPr>
                        <w:rFonts w:hint="eastAsia"/>
                      </w:rPr>
                      <w:instrText xml:space="preserve"> PAGE  \* MERGEFORMAT </w:instrText>
                    </w:r>
                    <w:r>
                      <w:rPr>
                        <w:rFonts w:hint="eastAsia"/>
                      </w:rPr>
                      <w:fldChar w:fldCharType="separate"/>
                    </w:r>
                    <w:r>
                      <w:rPr>
                        <w:rFonts w:hint="eastAsia"/>
                      </w:rPr>
                      <w:t>II</w:t>
                    </w:r>
                    <w:r>
                      <w:rPr>
                        <w:rFonts w:hint="eastAsia"/>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240" w:lineRule="auto"/>
      <w:ind w:firstLine="400"/>
      <w:jc w:val="center"/>
      <w:rPr>
        <w:sz w:val="20"/>
        <w:szCs w:val="22"/>
      </w:rPr>
    </w:pPr>
    <w:r>
      <w:rPr>
        <w:rFonts w:hint="eastAsia"/>
        <w:sz w:val="20"/>
        <w:szCs w:val="22"/>
      </w:rPr>
      <w:t>诸城市万汇· 滨河花园项目竣工环境保护验收监测报告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E5B8FF"/>
    <w:multiLevelType w:val="multilevel"/>
    <w:tmpl w:val="59E5B8FF"/>
    <w:lvl w:ilvl="0" w:tentative="0">
      <w:start w:val="1"/>
      <w:numFmt w:val="decimal"/>
      <w:lvlText w:val="%1."/>
      <w:lvlJc w:val="left"/>
      <w:pPr>
        <w:ind w:left="432" w:hanging="432"/>
      </w:pPr>
      <w:rPr>
        <w:rFonts w:hint="default"/>
      </w:rPr>
    </w:lvl>
    <w:lvl w:ilvl="1" w:tentative="0">
      <w:start w:val="1"/>
      <w:numFmt w:val="decimal"/>
      <w:lvlText w:val="%1.%2."/>
      <w:lvlJc w:val="left"/>
      <w:pPr>
        <w:ind w:left="575" w:hanging="575"/>
      </w:pPr>
      <w:rPr>
        <w:rFonts w:hint="default"/>
      </w:rPr>
    </w:lvl>
    <w:lvl w:ilvl="2" w:tentative="0">
      <w:start w:val="1"/>
      <w:numFmt w:val="decimal"/>
      <w:pStyle w:val="7"/>
      <w:lvlText w:val="%1.%2.%3."/>
      <w:lvlJc w:val="left"/>
      <w:pPr>
        <w:ind w:left="720" w:hanging="720"/>
      </w:pPr>
      <w:rPr>
        <w:rFonts w:hint="default"/>
      </w:rPr>
    </w:lvl>
    <w:lvl w:ilvl="3" w:tentative="0">
      <w:start w:val="1"/>
      <w:numFmt w:val="decimal"/>
      <w:pStyle w:val="8"/>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3E03"/>
    <w:rsid w:val="00343A3E"/>
    <w:rsid w:val="00467A21"/>
    <w:rsid w:val="00526DF9"/>
    <w:rsid w:val="00CB0767"/>
    <w:rsid w:val="00CE4DAA"/>
    <w:rsid w:val="00D875FB"/>
    <w:rsid w:val="00F23E03"/>
    <w:rsid w:val="044E066A"/>
    <w:rsid w:val="09D31154"/>
    <w:rsid w:val="115B4AC3"/>
    <w:rsid w:val="11FB7E7E"/>
    <w:rsid w:val="1AF847C8"/>
    <w:rsid w:val="1C863D36"/>
    <w:rsid w:val="369E22AF"/>
    <w:rsid w:val="374C5195"/>
    <w:rsid w:val="380D79B3"/>
    <w:rsid w:val="38117DF4"/>
    <w:rsid w:val="3BDA2A66"/>
    <w:rsid w:val="3D4B156B"/>
    <w:rsid w:val="3DEB7AFC"/>
    <w:rsid w:val="3EC40AD3"/>
    <w:rsid w:val="3F361215"/>
    <w:rsid w:val="461E4B7B"/>
    <w:rsid w:val="4A8C76EC"/>
    <w:rsid w:val="4D336173"/>
    <w:rsid w:val="4EF75EDD"/>
    <w:rsid w:val="517E523C"/>
    <w:rsid w:val="53513BC2"/>
    <w:rsid w:val="538A488C"/>
    <w:rsid w:val="549B7A5D"/>
    <w:rsid w:val="58DE1A1E"/>
    <w:rsid w:val="594E137E"/>
    <w:rsid w:val="5CA71321"/>
    <w:rsid w:val="63551E73"/>
    <w:rsid w:val="6C253F2D"/>
    <w:rsid w:val="6D111C67"/>
    <w:rsid w:val="707F3927"/>
    <w:rsid w:val="736D27A7"/>
    <w:rsid w:val="759E6EB9"/>
    <w:rsid w:val="7CF84F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723" w:firstLineChars="200"/>
    </w:pPr>
    <w:rPr>
      <w:rFonts w:eastAsia="宋体" w:asciiTheme="minorHAnsi" w:hAnsiTheme="minorHAnsi" w:cstheme="minorBidi"/>
      <w:kern w:val="2"/>
      <w:sz w:val="28"/>
      <w:szCs w:val="24"/>
      <w:lang w:val="en-US" w:eastAsia="zh-CN" w:bidi="ar-SA"/>
    </w:rPr>
  </w:style>
  <w:style w:type="paragraph" w:styleId="5">
    <w:name w:val="heading 1"/>
    <w:basedOn w:val="1"/>
    <w:next w:val="1"/>
    <w:qFormat/>
    <w:uiPriority w:val="0"/>
    <w:pPr>
      <w:keepNext/>
      <w:keepLines/>
      <w:ind w:firstLine="0" w:firstLineChars="0"/>
      <w:outlineLvl w:val="0"/>
    </w:pPr>
    <w:rPr>
      <w:b/>
      <w:kern w:val="44"/>
      <w:sz w:val="30"/>
    </w:rPr>
  </w:style>
  <w:style w:type="paragraph" w:styleId="6">
    <w:name w:val="heading 2"/>
    <w:basedOn w:val="1"/>
    <w:next w:val="1"/>
    <w:unhideWhenUsed/>
    <w:qFormat/>
    <w:uiPriority w:val="0"/>
    <w:pPr>
      <w:keepNext/>
      <w:keepLines/>
      <w:outlineLvl w:val="1"/>
    </w:pPr>
    <w:rPr>
      <w:rFonts w:ascii="Arial" w:hAnsi="Arial"/>
      <w:b/>
    </w:rPr>
  </w:style>
  <w:style w:type="paragraph" w:styleId="7">
    <w:name w:val="heading 3"/>
    <w:basedOn w:val="1"/>
    <w:next w:val="1"/>
    <w:unhideWhenUsed/>
    <w:qFormat/>
    <w:uiPriority w:val="0"/>
    <w:pPr>
      <w:numPr>
        <w:ilvl w:val="2"/>
        <w:numId w:val="1"/>
      </w:numPr>
      <w:ind w:left="0"/>
      <w:outlineLvl w:val="2"/>
    </w:pPr>
    <w:rPr>
      <w:rFonts w:ascii="仿宋" w:hAnsi="仿宋" w:cs="仿宋"/>
      <w:b/>
      <w:szCs w:val="28"/>
    </w:rPr>
  </w:style>
  <w:style w:type="paragraph" w:styleId="8">
    <w:name w:val="heading 4"/>
    <w:basedOn w:val="1"/>
    <w:next w:val="1"/>
    <w:unhideWhenUsed/>
    <w:qFormat/>
    <w:uiPriority w:val="0"/>
    <w:pPr>
      <w:keepNext/>
      <w:keepLines/>
      <w:numPr>
        <w:ilvl w:val="3"/>
        <w:numId w:val="1"/>
      </w:numPr>
      <w:ind w:left="0" w:firstLine="0"/>
      <w:outlineLvl w:val="3"/>
    </w:pPr>
    <w:rPr>
      <w:rFonts w:ascii="仿宋" w:hAnsi="仿宋"/>
      <w:b/>
      <w:sz w:val="24"/>
    </w:rPr>
  </w:style>
  <w:style w:type="character" w:default="1" w:styleId="17">
    <w:name w:val="Default Paragraph Font"/>
    <w:semiHidden/>
    <w:unhideWhenUsed/>
    <w:qFormat/>
    <w:uiPriority w:val="1"/>
  </w:style>
  <w:style w:type="table" w:default="1" w:styleId="19">
    <w:name w:val="Normal Table"/>
    <w:semiHidden/>
    <w:unhideWhenUsed/>
    <w:uiPriority w:val="99"/>
    <w:tblPr>
      <w:tblLayout w:type="fixed"/>
      <w:tblCellMar>
        <w:top w:w="0" w:type="dxa"/>
        <w:left w:w="108" w:type="dxa"/>
        <w:bottom w:w="0" w:type="dxa"/>
        <w:right w:w="108" w:type="dxa"/>
      </w:tblCellMar>
    </w:tblPr>
  </w:style>
  <w:style w:type="paragraph" w:styleId="2">
    <w:name w:val="Body Text First Indent 2"/>
    <w:basedOn w:val="3"/>
    <w:next w:val="1"/>
    <w:qFormat/>
    <w:uiPriority w:val="0"/>
    <w:pPr>
      <w:ind w:firstLine="420"/>
    </w:pPr>
    <w:rPr>
      <w:sz w:val="24"/>
    </w:rPr>
  </w:style>
  <w:style w:type="paragraph" w:styleId="3">
    <w:name w:val="Body Text Indent"/>
    <w:basedOn w:val="1"/>
    <w:next w:val="4"/>
    <w:qFormat/>
    <w:uiPriority w:val="0"/>
    <w:pPr>
      <w:spacing w:after="120"/>
      <w:ind w:left="420" w:leftChars="200"/>
    </w:pPr>
  </w:style>
  <w:style w:type="paragraph" w:customStyle="1" w:styleId="4">
    <w:name w:val="样式 正文文本缩进 + 行距: 1.5 倍行距"/>
    <w:basedOn w:val="3"/>
    <w:qFormat/>
    <w:uiPriority w:val="0"/>
    <w:pPr>
      <w:ind w:left="90" w:leftChars="32" w:firstLine="560"/>
    </w:pPr>
    <w:rPr>
      <w:sz w:val="24"/>
    </w:rPr>
  </w:style>
  <w:style w:type="paragraph" w:styleId="9">
    <w:name w:val="Body Text First Indent"/>
    <w:basedOn w:val="10"/>
    <w:qFormat/>
    <w:uiPriority w:val="0"/>
    <w:pPr>
      <w:topLinePunct/>
      <w:adjustRightInd w:val="0"/>
      <w:snapToGrid w:val="0"/>
      <w:ind w:firstLine="620"/>
    </w:pPr>
    <w:rPr>
      <w:rFonts w:eastAsia="华文仿宋"/>
      <w:spacing w:val="15"/>
      <w:sz w:val="28"/>
      <w:szCs w:val="20"/>
    </w:rPr>
  </w:style>
  <w:style w:type="paragraph" w:styleId="10">
    <w:name w:val="Body Text"/>
    <w:basedOn w:val="1"/>
    <w:qFormat/>
    <w:uiPriority w:val="0"/>
    <w:rPr>
      <w:sz w:val="21"/>
      <w:szCs w:val="21"/>
    </w:rPr>
  </w:style>
  <w:style w:type="paragraph" w:styleId="11">
    <w:name w:val="caption"/>
    <w:basedOn w:val="1"/>
    <w:next w:val="1"/>
    <w:unhideWhenUsed/>
    <w:qFormat/>
    <w:uiPriority w:val="0"/>
    <w:pPr>
      <w:jc w:val="center"/>
    </w:pPr>
    <w:rPr>
      <w:b/>
      <w:sz w:val="21"/>
      <w:szCs w:val="20"/>
    </w:rPr>
  </w:style>
  <w:style w:type="paragraph" w:styleId="12">
    <w:name w:val="annotation text"/>
    <w:basedOn w:val="1"/>
    <w:qFormat/>
    <w:uiPriority w:val="0"/>
  </w:style>
  <w:style w:type="paragraph" w:styleId="13">
    <w:name w:val="Plain Text"/>
    <w:basedOn w:val="1"/>
    <w:qFormat/>
    <w:uiPriority w:val="0"/>
    <w:rPr>
      <w:rFonts w:eastAsia="方正书宋简体"/>
    </w:rPr>
  </w:style>
  <w:style w:type="paragraph" w:styleId="14">
    <w:name w:val="footer"/>
    <w:basedOn w:val="1"/>
    <w:qFormat/>
    <w:uiPriority w:val="0"/>
    <w:pPr>
      <w:tabs>
        <w:tab w:val="center" w:pos="4153"/>
        <w:tab w:val="right" w:pos="8306"/>
      </w:tabs>
      <w:snapToGrid w:val="0"/>
    </w:pPr>
    <w:rPr>
      <w:sz w:val="18"/>
      <w:szCs w:val="18"/>
    </w:rPr>
  </w:style>
  <w:style w:type="paragraph" w:styleId="15">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6">
    <w:name w:val="Normal (Web)"/>
    <w:basedOn w:val="1"/>
    <w:qFormat/>
    <w:uiPriority w:val="0"/>
    <w:pPr>
      <w:widowControl/>
      <w:spacing w:before="100" w:beforeAutospacing="1" w:after="100" w:afterAutospacing="1"/>
    </w:pPr>
    <w:rPr>
      <w:sz w:val="24"/>
    </w:rPr>
  </w:style>
  <w:style w:type="character" w:styleId="18">
    <w:name w:val="page number"/>
    <w:basedOn w:val="17"/>
    <w:qFormat/>
    <w:uiPriority w:val="0"/>
  </w:style>
  <w:style w:type="table" w:styleId="20">
    <w:name w:val="Table Grid"/>
    <w:basedOn w:val="1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21">
    <w:name w:val="WPSOffice手动目录 1"/>
    <w:qFormat/>
    <w:uiPriority w:val="0"/>
    <w:rPr>
      <w:rFonts w:asciiTheme="minorHAnsi" w:hAnsiTheme="minorHAnsi" w:eastAsiaTheme="minorEastAsia" w:cstheme="minorBidi"/>
      <w:lang w:val="en-US" w:eastAsia="zh-CN" w:bidi="ar-SA"/>
    </w:rPr>
  </w:style>
  <w:style w:type="paragraph" w:customStyle="1" w:styleId="22">
    <w:name w:val="WPSOffice手动目录 2"/>
    <w:qFormat/>
    <w:uiPriority w:val="0"/>
    <w:pPr>
      <w:ind w:left="200" w:leftChars="200"/>
    </w:pPr>
    <w:rPr>
      <w:rFonts w:asciiTheme="minorHAnsi" w:hAnsiTheme="minorHAnsi" w:eastAsiaTheme="minorEastAsia" w:cstheme="minorBidi"/>
      <w:lang w:val="en-US" w:eastAsia="zh-CN" w:bidi="ar-SA"/>
    </w:rPr>
  </w:style>
  <w:style w:type="paragraph" w:customStyle="1" w:styleId="23">
    <w:name w:val="一般文字"/>
    <w:basedOn w:val="10"/>
    <w:qFormat/>
    <w:uiPriority w:val="0"/>
    <w:pPr>
      <w:topLinePunct/>
      <w:ind w:firstLine="200"/>
    </w:pPr>
    <w:rPr>
      <w:sz w:val="24"/>
    </w:rPr>
  </w:style>
  <w:style w:type="paragraph" w:customStyle="1" w:styleId="24">
    <w:name w:val="表格内容"/>
    <w:qFormat/>
    <w:uiPriority w:val="0"/>
    <w:pPr>
      <w:jc w:val="center"/>
    </w:pPr>
    <w:rPr>
      <w:rFonts w:ascii="Times New Roman" w:hAnsi="Times New Roman" w:eastAsia="宋体" w:cs="Times New Roman"/>
      <w:color w:val="000000"/>
      <w:kern w:val="2"/>
      <w:szCs w:val="21"/>
      <w:lang w:val="en-US" w:eastAsia="zh-CN" w:bidi="ar-SA"/>
    </w:rPr>
  </w:style>
  <w:style w:type="paragraph" w:customStyle="1" w:styleId="25">
    <w:name w:val="样式3"/>
    <w:basedOn w:val="1"/>
    <w:qFormat/>
    <w:uiPriority w:val="0"/>
    <w:pPr>
      <w:jc w:val="center"/>
    </w:pPr>
    <w:rPr>
      <w:sz w:val="21"/>
    </w:rPr>
  </w:style>
  <w:style w:type="paragraph" w:customStyle="1" w:styleId="26">
    <w:name w:val="样式4"/>
    <w:basedOn w:val="25"/>
    <w:qFormat/>
    <w:uiPriority w:val="0"/>
    <w:pPr>
      <w:spacing w:line="0" w:lineRule="atLeast"/>
      <w:ind w:firstLine="0" w:firstLineChars="0"/>
      <w:jc w:val="left"/>
    </w:pPr>
  </w:style>
</w:styles>
</file>

<file path=word/_rels/document.xml.rels><?xml version="1.0" encoding="UTF-8" standalone="yes"?>
<Relationships xmlns="http://schemas.openxmlformats.org/package/2006/relationships"><Relationship Id="rId9" Type="http://schemas.openxmlformats.org/officeDocument/2006/relationships/footer" Target="footer6.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glossaryDocument" Target="glossary/document.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3631504f-2c9a-4858-9a6b-3098b63f0bb9}"/>
        <w:style w:val=""/>
        <w:category>
          <w:name w:val="常规"/>
          <w:gallery w:val="placeholder"/>
        </w:category>
        <w:types>
          <w:type w:val="bbPlcHdr"/>
        </w:types>
        <w:behaviors>
          <w:behavior w:val="content"/>
        </w:behaviors>
        <w:description w:val=""/>
        <w:guid w:val="{3631504F-2C9A-4858-9A6B-3098B63F0BB9}"/>
      </w:docPartPr>
      <w:docPartBody>
        <w:p>
          <w:r>
            <w:rPr>
              <w:color w:val="808080"/>
            </w:rPr>
            <w:t>单击此处输入文字。</w:t>
          </w:r>
        </w:p>
      </w:docPartBody>
    </w:docPart>
    <w:docPart>
      <w:docPartPr>
        <w:name w:val="{59a85ad3-4b49-4ab8-b044-3ab8e1dfbd4e}"/>
        <w:style w:val=""/>
        <w:category>
          <w:name w:val="常规"/>
          <w:gallery w:val="placeholder"/>
        </w:category>
        <w:types>
          <w:type w:val="bbPlcHdr"/>
        </w:types>
        <w:behaviors>
          <w:behavior w:val="content"/>
        </w:behaviors>
        <w:description w:val=""/>
        <w:guid w:val="{59A85AD3-4B49-4AB8-B044-3AB8E1DFBD4E}"/>
      </w:docPartPr>
      <w:docPartBody>
        <w:p>
          <w:r>
            <w:rPr>
              <w:color w:val="808080"/>
            </w:rPr>
            <w:t>单击此处输入文字。</w:t>
          </w:r>
        </w:p>
      </w:docPartBody>
    </w:docPart>
    <w:docPart>
      <w:docPartPr>
        <w:name w:val="{8a91c3ee-dfc6-4afe-827c-84c28d93a805}"/>
        <w:style w:val=""/>
        <w:category>
          <w:name w:val="常规"/>
          <w:gallery w:val="placeholder"/>
        </w:category>
        <w:types>
          <w:type w:val="bbPlcHdr"/>
        </w:types>
        <w:behaviors>
          <w:behavior w:val="content"/>
        </w:behaviors>
        <w:description w:val=""/>
        <w:guid w:val="{8A91C3EE-DFC6-4AFE-827C-84C28D93A805}"/>
      </w:docPartPr>
      <w:docPartBody>
        <w:p>
          <w:r>
            <w:rPr>
              <w:color w:val="808080"/>
            </w:rPr>
            <w:t>单击此处输入文字。</w:t>
          </w:r>
        </w:p>
      </w:docPartBody>
    </w:docPart>
    <w:docPart>
      <w:docPartPr>
        <w:name w:val="{c6a33b1b-3c62-4447-ad72-118554239b94}"/>
        <w:style w:val=""/>
        <w:category>
          <w:name w:val="常规"/>
          <w:gallery w:val="placeholder"/>
        </w:category>
        <w:types>
          <w:type w:val="bbPlcHdr"/>
        </w:types>
        <w:behaviors>
          <w:behavior w:val="content"/>
        </w:behaviors>
        <w:description w:val=""/>
        <w:guid w:val="{C6A33B1B-3C62-4447-AD72-118554239B94}"/>
      </w:docPartPr>
      <w:docPartBody>
        <w:p>
          <w:r>
            <w:rPr>
              <w:color w:val="808080"/>
            </w:rPr>
            <w:t>单击此处输入文字。</w:t>
          </w:r>
        </w:p>
      </w:docPartBody>
    </w:docPart>
    <w:docPart>
      <w:docPartPr>
        <w:name w:val="{856429de-cda5-487a-8049-bdb08b56adac}"/>
        <w:style w:val=""/>
        <w:category>
          <w:name w:val="常规"/>
          <w:gallery w:val="placeholder"/>
        </w:category>
        <w:types>
          <w:type w:val="bbPlcHdr"/>
        </w:types>
        <w:behaviors>
          <w:behavior w:val="content"/>
        </w:behaviors>
        <w:description w:val=""/>
        <w:guid w:val="{856429DE-CDA5-487A-8049-BDB08B56ADAC}"/>
      </w:docPartPr>
      <w:docPartBody>
        <w:p>
          <w:r>
            <w:rPr>
              <w:color w:val="808080"/>
            </w:rPr>
            <w:t>单击此处输入文字。</w:t>
          </w:r>
        </w:p>
      </w:docPartBody>
    </w:docPart>
    <w:docPart>
      <w:docPartPr>
        <w:name w:val="{48a3fcad-7025-4503-b2d1-cf900eb848d8}"/>
        <w:style w:val=""/>
        <w:category>
          <w:name w:val="常规"/>
          <w:gallery w:val="placeholder"/>
        </w:category>
        <w:types>
          <w:type w:val="bbPlcHdr"/>
        </w:types>
        <w:behaviors>
          <w:behavior w:val="content"/>
        </w:behaviors>
        <w:description w:val=""/>
        <w:guid w:val="{48A3FCAD-7025-4503-B2D1-CF900EB848D8}"/>
      </w:docPartPr>
      <w:docPartBody>
        <w:p>
          <w:r>
            <w:rPr>
              <w:color w:val="808080"/>
            </w:rPr>
            <w:t>单击此处输入文字。</w:t>
          </w:r>
        </w:p>
      </w:docPartBody>
    </w:docPart>
    <w:docPart>
      <w:docPartPr>
        <w:name w:val="{9e1b58b5-c31b-42ed-864f-c1063bde0e96}"/>
        <w:style w:val=""/>
        <w:category>
          <w:name w:val="常规"/>
          <w:gallery w:val="placeholder"/>
        </w:category>
        <w:types>
          <w:type w:val="bbPlcHdr"/>
        </w:types>
        <w:behaviors>
          <w:behavior w:val="content"/>
        </w:behaviors>
        <w:description w:val=""/>
        <w:guid w:val="{9E1B58B5-C31B-42ED-864F-C1063BDE0E96}"/>
      </w:docPartPr>
      <w:docPartBody>
        <w:p>
          <w:r>
            <w:rPr>
              <w:color w:val="808080"/>
            </w:rPr>
            <w:t>单击此处输入文字。</w:t>
          </w:r>
        </w:p>
      </w:docPartBody>
    </w:docPart>
    <w:docPart>
      <w:docPartPr>
        <w:name w:val="{64e1eecb-2484-46ec-8fab-586c399c37bf}"/>
        <w:style w:val=""/>
        <w:category>
          <w:name w:val="常规"/>
          <w:gallery w:val="placeholder"/>
        </w:category>
        <w:types>
          <w:type w:val="bbPlcHdr"/>
        </w:types>
        <w:behaviors>
          <w:behavior w:val="content"/>
        </w:behaviors>
        <w:description w:val=""/>
        <w:guid w:val="{64E1EECB-2484-46EC-8FAB-586C399C37BF}"/>
      </w:docPartPr>
      <w:docPartBody>
        <w:p>
          <w:r>
            <w:rPr>
              <w:color w:val="808080"/>
            </w:rPr>
            <w:t>单击此处输入文字。</w:t>
          </w:r>
        </w:p>
      </w:docPartBody>
    </w:docPart>
    <w:docPart>
      <w:docPartPr>
        <w:name w:val="{ee6ab5dc-036c-468a-aa15-60494a2d6046}"/>
        <w:style w:val=""/>
        <w:category>
          <w:name w:val="常规"/>
          <w:gallery w:val="placeholder"/>
        </w:category>
        <w:types>
          <w:type w:val="bbPlcHdr"/>
        </w:types>
        <w:behaviors>
          <w:behavior w:val="content"/>
        </w:behaviors>
        <w:description w:val=""/>
        <w:guid w:val="{EE6AB5DC-036C-468A-AA15-60494A2D6046}"/>
      </w:docPartPr>
      <w:docPartBody>
        <w:p>
          <w:r>
            <w:rPr>
              <w:color w:val="808080"/>
            </w:rPr>
            <w:t>单击此处输入文字。</w:t>
          </w:r>
        </w:p>
      </w:docPartBody>
    </w:docPart>
    <w:docPart>
      <w:docPartPr>
        <w:name w:val="{0ee22db3-b389-424b-b013-cc4a104f247c}"/>
        <w:style w:val=""/>
        <w:category>
          <w:name w:val="常规"/>
          <w:gallery w:val="placeholder"/>
        </w:category>
        <w:types>
          <w:type w:val="bbPlcHdr"/>
        </w:types>
        <w:behaviors>
          <w:behavior w:val="content"/>
        </w:behaviors>
        <w:description w:val=""/>
        <w:guid w:val="{0EE22DB3-B389-424B-B013-CC4A104F247C}"/>
      </w:docPartPr>
      <w:docPartBody>
        <w:p>
          <w:r>
            <w:rPr>
              <w:color w:val="808080"/>
            </w:rPr>
            <w:t>单击此处输入文字。</w:t>
          </w:r>
        </w:p>
      </w:docPartBody>
    </w:docPart>
    <w:docPart>
      <w:docPartPr>
        <w:name w:val="{f38dcecf-9aac-4864-ac11-98f4937b062b}"/>
        <w:style w:val=""/>
        <w:category>
          <w:name w:val="常规"/>
          <w:gallery w:val="placeholder"/>
        </w:category>
        <w:types>
          <w:type w:val="bbPlcHdr"/>
        </w:types>
        <w:behaviors>
          <w:behavior w:val="content"/>
        </w:behaviors>
        <w:description w:val=""/>
        <w:guid w:val="{F38DCECF-9AAC-4864-AC11-98F4937B062B}"/>
      </w:docPartPr>
      <w:docPartBody>
        <w:p>
          <w:r>
            <w:rPr>
              <w:color w:val="808080"/>
            </w:rPr>
            <w:t>单击此处输入文字。</w:t>
          </w:r>
        </w:p>
      </w:docPartBody>
    </w:docPart>
    <w:docPart>
      <w:docPartPr>
        <w:name w:val="{a0761389-ee90-45b4-9660-d0e1fb47c134}"/>
        <w:style w:val=""/>
        <w:category>
          <w:name w:val="常规"/>
          <w:gallery w:val="placeholder"/>
        </w:category>
        <w:types>
          <w:type w:val="bbPlcHdr"/>
        </w:types>
        <w:behaviors>
          <w:behavior w:val="content"/>
        </w:behaviors>
        <w:description w:val=""/>
        <w:guid w:val="{A0761389-EE90-45B4-9660-D0E1FB47C134}"/>
      </w:docPartPr>
      <w:docPartBody>
        <w:p>
          <w:r>
            <w:rPr>
              <w:color w:val="808080"/>
            </w:rPr>
            <w:t>单击此处输入文字。</w:t>
          </w:r>
        </w:p>
      </w:docPartBody>
    </w:docPart>
    <w:docPart>
      <w:docPartPr>
        <w:name w:val="{9ab0e350-4e14-4989-909d-f1007cd4c510}"/>
        <w:style w:val=""/>
        <w:category>
          <w:name w:val="常规"/>
          <w:gallery w:val="placeholder"/>
        </w:category>
        <w:types>
          <w:type w:val="bbPlcHdr"/>
        </w:types>
        <w:behaviors>
          <w:behavior w:val="content"/>
        </w:behaviors>
        <w:description w:val=""/>
        <w:guid w:val="{9AB0E350-4E14-4989-909D-F1007CD4C510}"/>
      </w:docPartPr>
      <w:docPartBody>
        <w:p>
          <w:r>
            <w:rPr>
              <w:color w:val="808080"/>
            </w:rPr>
            <w:t>单击此处输入文字。</w:t>
          </w:r>
        </w:p>
      </w:docPartBody>
    </w:docPart>
    <w:docPart>
      <w:docPartPr>
        <w:name w:val="{1c9f3863-74ee-4294-a190-8f954125a306}"/>
        <w:style w:val=""/>
        <w:category>
          <w:name w:val="常规"/>
          <w:gallery w:val="placeholder"/>
        </w:category>
        <w:types>
          <w:type w:val="bbPlcHdr"/>
        </w:types>
        <w:behaviors>
          <w:behavior w:val="content"/>
        </w:behaviors>
        <w:description w:val=""/>
        <w:guid w:val="{1C9F3863-74EE-4294-A190-8F954125A306}"/>
      </w:docPartPr>
      <w:docPartBody>
        <w:p>
          <w:r>
            <w:rPr>
              <w:color w:val="808080"/>
            </w:rPr>
            <w:t>单击此处输入文字。</w:t>
          </w:r>
        </w:p>
      </w:docPartBody>
    </w:docPart>
    <w:docPart>
      <w:docPartPr>
        <w:name w:val="{a38b3fea-f1d1-45a6-bf94-a9aa78aaa19b}"/>
        <w:style w:val=""/>
        <w:category>
          <w:name w:val="常规"/>
          <w:gallery w:val="placeholder"/>
        </w:category>
        <w:types>
          <w:type w:val="bbPlcHdr"/>
        </w:types>
        <w:behaviors>
          <w:behavior w:val="content"/>
        </w:behaviors>
        <w:description w:val=""/>
        <w:guid w:val="{A38B3FEA-F1D1-45A6-BF94-A9AA78AAA19B}"/>
      </w:docPartPr>
      <w:docPartBody>
        <w:p>
          <w:r>
            <w:rPr>
              <w:color w:val="808080"/>
            </w:rPr>
            <w:t>单击此处输入文字。</w:t>
          </w:r>
        </w:p>
      </w:docPartBody>
    </w:docPart>
    <w:docPart>
      <w:docPartPr>
        <w:name w:val="{5b49a087-3676-4a10-a936-7f1187fb5a03}"/>
        <w:style w:val=""/>
        <w:category>
          <w:name w:val="常规"/>
          <w:gallery w:val="placeholder"/>
        </w:category>
        <w:types>
          <w:type w:val="bbPlcHdr"/>
        </w:types>
        <w:behaviors>
          <w:behavior w:val="content"/>
        </w:behaviors>
        <w:description w:val=""/>
        <w:guid w:val="{5B49A087-3676-4A10-A936-7F1187FB5A03}"/>
      </w:docPartPr>
      <w:docPartBody>
        <w:p>
          <w:r>
            <w:rPr>
              <w:color w:val="808080"/>
            </w:rPr>
            <w:t>单击此处输入文字。</w:t>
          </w:r>
        </w:p>
      </w:docPartBody>
    </w:docPart>
    <w:docPart>
      <w:docPartPr>
        <w:name w:val="{7b62b306-7e46-4612-bcab-accbd2032def}"/>
        <w:style w:val=""/>
        <w:category>
          <w:name w:val="常规"/>
          <w:gallery w:val="placeholder"/>
        </w:category>
        <w:types>
          <w:type w:val="bbPlcHdr"/>
        </w:types>
        <w:behaviors>
          <w:behavior w:val="content"/>
        </w:behaviors>
        <w:description w:val=""/>
        <w:guid w:val="{7B62B306-7E46-4612-BCAB-ACCBD2032DEF}"/>
      </w:docPartPr>
      <w:docPartBody>
        <w:p>
          <w:r>
            <w:rPr>
              <w:color w:val="808080"/>
            </w:rPr>
            <w:t>单击此处输入文字。</w:t>
          </w:r>
        </w:p>
      </w:docPartBody>
    </w:docPart>
    <w:docPart>
      <w:docPartPr>
        <w:name w:val="{806d5cdd-862b-4026-95d8-ab401178e691}"/>
        <w:style w:val=""/>
        <w:category>
          <w:name w:val="常规"/>
          <w:gallery w:val="placeholder"/>
        </w:category>
        <w:types>
          <w:type w:val="bbPlcHdr"/>
        </w:types>
        <w:behaviors>
          <w:behavior w:val="content"/>
        </w:behaviors>
        <w:description w:val=""/>
        <w:guid w:val="{806D5CDD-862B-4026-95D8-AB401178E691}"/>
      </w:docPartPr>
      <w:docPartBody>
        <w:p>
          <w:r>
            <w:rPr>
              <w:color w:val="808080"/>
            </w:rPr>
            <w:t>单击此处输入文字。</w:t>
          </w:r>
        </w:p>
      </w:docPartBody>
    </w:docPart>
    <w:docPart>
      <w:docPartPr>
        <w:name w:val="{1772c348-18e9-447d-a6da-9294b4a2c049}"/>
        <w:style w:val=""/>
        <w:category>
          <w:name w:val="常规"/>
          <w:gallery w:val="placeholder"/>
        </w:category>
        <w:types>
          <w:type w:val="bbPlcHdr"/>
        </w:types>
        <w:behaviors>
          <w:behavior w:val="content"/>
        </w:behaviors>
        <w:description w:val=""/>
        <w:guid w:val="{1772C348-18E9-447D-A6DA-9294B4A2C049}"/>
      </w:docPartPr>
      <w:docPartBody>
        <w:p>
          <w:r>
            <w:rPr>
              <w:color w:val="808080"/>
            </w:rPr>
            <w:t>单击此处输入文字。</w:t>
          </w:r>
        </w:p>
      </w:docPartBody>
    </w:docPart>
    <w:docPart>
      <w:docPartPr>
        <w:name w:val="{2125b564-4302-46e3-8b92-5038c995cca7}"/>
        <w:style w:val=""/>
        <w:category>
          <w:name w:val="常规"/>
          <w:gallery w:val="placeholder"/>
        </w:category>
        <w:types>
          <w:type w:val="bbPlcHdr"/>
        </w:types>
        <w:behaviors>
          <w:behavior w:val="content"/>
        </w:behaviors>
        <w:description w:val=""/>
        <w:guid w:val="{2125B564-4302-46E3-8B92-5038C995CCA7}"/>
      </w:docPartPr>
      <w:docPartBody>
        <w:p>
          <w:r>
            <w:rPr>
              <w:color w:val="808080"/>
            </w:rPr>
            <w:t>单击此处输入文字。</w:t>
          </w:r>
        </w:p>
      </w:docPartBody>
    </w:docPart>
    <w:docPart>
      <w:docPartPr>
        <w:name w:val="{ce955713-c69b-4b26-b514-12e4a0785887}"/>
        <w:style w:val=""/>
        <w:category>
          <w:name w:val="常规"/>
          <w:gallery w:val="placeholder"/>
        </w:category>
        <w:types>
          <w:type w:val="bbPlcHdr"/>
        </w:types>
        <w:behaviors>
          <w:behavior w:val="content"/>
        </w:behaviors>
        <w:description w:val=""/>
        <w:guid w:val="{CE955713-C69B-4B26-B514-12E4A0785887}"/>
      </w:docPartPr>
      <w:docPartBody>
        <w:p>
          <w:r>
            <w:rPr>
              <w:color w:val="808080"/>
            </w:rPr>
            <w:t>单击此处输入文字。</w:t>
          </w:r>
        </w:p>
      </w:docPartBody>
    </w:docPart>
    <w:docPart>
      <w:docPartPr>
        <w:name w:val="{cd937939-dd01-490d-aca6-8134d015743e}"/>
        <w:style w:val=""/>
        <w:category>
          <w:name w:val="常规"/>
          <w:gallery w:val="placeholder"/>
        </w:category>
        <w:types>
          <w:type w:val="bbPlcHdr"/>
        </w:types>
        <w:behaviors>
          <w:behavior w:val="content"/>
        </w:behaviors>
        <w:description w:val=""/>
        <w:guid w:val="{CD937939-DD01-490D-ACA6-8134D015743E}"/>
      </w:docPartPr>
      <w:docPartBody>
        <w:p>
          <w:r>
            <w:rPr>
              <w:color w:val="808080"/>
            </w:rPr>
            <w:t>单击此处输入文字。</w:t>
          </w:r>
        </w:p>
      </w:docPartBody>
    </w:docPart>
    <w:docPart>
      <w:docPartPr>
        <w:name w:val="{f105f6f6-6845-4826-a5d9-332b872663af}"/>
        <w:style w:val=""/>
        <w:category>
          <w:name w:val="常规"/>
          <w:gallery w:val="placeholder"/>
        </w:category>
        <w:types>
          <w:type w:val="bbPlcHdr"/>
        </w:types>
        <w:behaviors>
          <w:behavior w:val="content"/>
        </w:behaviors>
        <w:description w:val=""/>
        <w:guid w:val="{F105F6F6-6845-4826-A5D9-332B872663AF}"/>
      </w:docPartPr>
      <w:docPartBody>
        <w:p>
          <w:r>
            <w:rPr>
              <w:color w:val="808080"/>
            </w:rPr>
            <w:t>单击此处输入文字。</w:t>
          </w:r>
        </w:p>
      </w:docPartBody>
    </w:docPart>
    <w:docPart>
      <w:docPartPr>
        <w:name w:val="{ca2169ce-e0d6-47dc-b16a-c95989924480}"/>
        <w:style w:val=""/>
        <w:category>
          <w:name w:val="常规"/>
          <w:gallery w:val="placeholder"/>
        </w:category>
        <w:types>
          <w:type w:val="bbPlcHdr"/>
        </w:types>
        <w:behaviors>
          <w:behavior w:val="content"/>
        </w:behaviors>
        <w:description w:val=""/>
        <w:guid w:val="{CA2169CE-E0D6-47DC-B16A-C95989924480}"/>
      </w:docPartPr>
      <w:docPartBody>
        <w:p>
          <w:r>
            <w:rPr>
              <w:color w:val="808080"/>
            </w:rPr>
            <w:t>单击此处输入文字。</w:t>
          </w:r>
        </w:p>
      </w:docPartBody>
    </w:docPart>
    <w:docPart>
      <w:docPartPr>
        <w:name w:val="{e25a8eee-7cb4-46b8-b82c-54c7d778ec46}"/>
        <w:style w:val=""/>
        <w:category>
          <w:name w:val="常规"/>
          <w:gallery w:val="placeholder"/>
        </w:category>
        <w:types>
          <w:type w:val="bbPlcHdr"/>
        </w:types>
        <w:behaviors>
          <w:behavior w:val="content"/>
        </w:behaviors>
        <w:description w:val=""/>
        <w:guid w:val="{E25A8EEE-7CB4-46B8-B82C-54C7D778EC46}"/>
      </w:docPartPr>
      <w:docPartBody>
        <w:p>
          <w:r>
            <w:rPr>
              <w:color w:val="808080"/>
            </w:rPr>
            <w:t>单击此处输入文字。</w:t>
          </w:r>
        </w:p>
      </w:docPartBody>
    </w:docPart>
    <w:docPart>
      <w:docPartPr>
        <w:name w:val="{0e48a6d8-64f7-403b-a64b-80f63e287665}"/>
        <w:style w:val=""/>
        <w:category>
          <w:name w:val="常规"/>
          <w:gallery w:val="placeholder"/>
        </w:category>
        <w:types>
          <w:type w:val="bbPlcHdr"/>
        </w:types>
        <w:behaviors>
          <w:behavior w:val="content"/>
        </w:behaviors>
        <w:description w:val=""/>
        <w:guid w:val="{0E48A6D8-64F7-403B-A64B-80F63E287665}"/>
      </w:docPartPr>
      <w:docPartBody>
        <w:p>
          <w:r>
            <w:rPr>
              <w:color w:val="808080"/>
            </w:rPr>
            <w:t>单击此处输入文字。</w:t>
          </w:r>
        </w:p>
      </w:docPartBody>
    </w:docPart>
    <w:docPart>
      <w:docPartPr>
        <w:name w:val="{1a452af5-1fa8-4f05-9e3f-48cbd799c02b}"/>
        <w:style w:val=""/>
        <w:category>
          <w:name w:val="常规"/>
          <w:gallery w:val="placeholder"/>
        </w:category>
        <w:types>
          <w:type w:val="bbPlcHdr"/>
        </w:types>
        <w:behaviors>
          <w:behavior w:val="content"/>
        </w:behaviors>
        <w:description w:val=""/>
        <w:guid w:val="{1A452AF5-1FA8-4F05-9E3F-48CBD799C02B}"/>
      </w:docPartPr>
      <w:docPartBody>
        <w:p>
          <w:r>
            <w:rPr>
              <w:color w:val="808080"/>
            </w:rPr>
            <w:t>单击此处输入文字。</w:t>
          </w:r>
        </w:p>
      </w:docPartBody>
    </w:docPart>
    <w:docPart>
      <w:docPartPr>
        <w:name w:val="{4da9b07e-ac81-4fbe-a2e5-a6e481dbfbc0}"/>
        <w:style w:val=""/>
        <w:category>
          <w:name w:val="常规"/>
          <w:gallery w:val="placeholder"/>
        </w:category>
        <w:types>
          <w:type w:val="bbPlcHdr"/>
        </w:types>
        <w:behaviors>
          <w:behavior w:val="content"/>
        </w:behaviors>
        <w:description w:val=""/>
        <w:guid w:val="{4DA9B07E-AC81-4FBE-A2E5-A6E481DBFBC0}"/>
      </w:docPartPr>
      <w:docPartBody>
        <w:p>
          <w:r>
            <w:rPr>
              <w:color w:val="808080"/>
            </w:rPr>
            <w:t>单击此处输入文字。</w:t>
          </w:r>
        </w:p>
      </w:docPartBody>
    </w:docPart>
    <w:docPart>
      <w:docPartPr>
        <w:name w:val="{44ae7485-c46d-48bb-8c58-f1ac96f38513}"/>
        <w:style w:val=""/>
        <w:category>
          <w:name w:val="常规"/>
          <w:gallery w:val="placeholder"/>
        </w:category>
        <w:types>
          <w:type w:val="bbPlcHdr"/>
        </w:types>
        <w:behaviors>
          <w:behavior w:val="content"/>
        </w:behaviors>
        <w:description w:val=""/>
        <w:guid w:val="{44AE7485-C46D-48BB-8C58-F1AC96F38513}"/>
      </w:docPartPr>
      <w:docPartBody>
        <w:p>
          <w:r>
            <w:rPr>
              <w:color w:val="808080"/>
            </w:rPr>
            <w:t>单击此处输入文字。</w:t>
          </w:r>
        </w:p>
      </w:docPartBody>
    </w:docPart>
    <w:docPart>
      <w:docPartPr>
        <w:name w:val="{2a1affaf-43ee-4869-a585-fd42e9eaee04}"/>
        <w:style w:val=""/>
        <w:category>
          <w:name w:val="常规"/>
          <w:gallery w:val="placeholder"/>
        </w:category>
        <w:types>
          <w:type w:val="bbPlcHdr"/>
        </w:types>
        <w:behaviors>
          <w:behavior w:val="content"/>
        </w:behaviors>
        <w:description w:val=""/>
        <w:guid w:val="{2A1AFFAF-43EE-4869-A585-FD42E9EAEE04}"/>
      </w:docPartPr>
      <w:docPartBody>
        <w:p>
          <w:r>
            <w:rPr>
              <w:color w:val="808080"/>
            </w:rPr>
            <w:t>单击此处输入文字。</w:t>
          </w:r>
        </w:p>
      </w:docPartBody>
    </w:docPart>
    <w:docPart>
      <w:docPartPr>
        <w:name w:val="{d87fc65c-3a34-47b9-acc4-10ff8bf8121f}"/>
        <w:style w:val=""/>
        <w:category>
          <w:name w:val="常规"/>
          <w:gallery w:val="placeholder"/>
        </w:category>
        <w:types>
          <w:type w:val="bbPlcHdr"/>
        </w:types>
        <w:behaviors>
          <w:behavior w:val="content"/>
        </w:behaviors>
        <w:description w:val=""/>
        <w:guid w:val="{D87FC65C-3A34-47B9-ACC4-10FF8BF8121F}"/>
      </w:docPartPr>
      <w:docPartBody>
        <w:p>
          <w:r>
            <w:rPr>
              <w:color w:val="808080"/>
            </w:rPr>
            <w:t>单击此处输入文字。</w:t>
          </w:r>
        </w:p>
      </w:docPartBody>
    </w:docPart>
    <w:docPart>
      <w:docPartPr>
        <w:name w:val="{f051429f-62f0-428d-a0af-6c148f7c6c7c}"/>
        <w:style w:val=""/>
        <w:category>
          <w:name w:val="常规"/>
          <w:gallery w:val="placeholder"/>
        </w:category>
        <w:types>
          <w:type w:val="bbPlcHdr"/>
        </w:types>
        <w:behaviors>
          <w:behavior w:val="content"/>
        </w:behaviors>
        <w:description w:val=""/>
        <w:guid w:val="{F051429F-62F0-428D-A0AF-6C148F7C6C7C}"/>
      </w:docPartPr>
      <w:docPartBody>
        <w:p>
          <w:r>
            <w:rPr>
              <w:color w:val="808080"/>
            </w:rPr>
            <w:t>单击此处输入文字。</w:t>
          </w:r>
        </w:p>
      </w:docPartBody>
    </w:docPart>
    <w:docPart>
      <w:docPartPr>
        <w:name w:val="{5e87bdaf-e90c-48fa-b920-8642c7452679}"/>
        <w:style w:val=""/>
        <w:category>
          <w:name w:val="常规"/>
          <w:gallery w:val="placeholder"/>
        </w:category>
        <w:types>
          <w:type w:val="bbPlcHdr"/>
        </w:types>
        <w:behaviors>
          <w:behavior w:val="content"/>
        </w:behaviors>
        <w:description w:val=""/>
        <w:guid w:val="{5E87BDAF-E90C-48FA-B920-8642C7452679}"/>
      </w:docPartPr>
      <w:docPartBody>
        <w:p>
          <w:r>
            <w:rPr>
              <w:color w:val="808080"/>
            </w:rPr>
            <w:t>单击此处输入文字。</w:t>
          </w:r>
        </w:p>
      </w:docPartBody>
    </w:docPart>
    <w:docPart>
      <w:docPartPr>
        <w:name w:val="{23b2822a-b218-4522-a63d-e889762edd54}"/>
        <w:style w:val=""/>
        <w:category>
          <w:name w:val="常规"/>
          <w:gallery w:val="placeholder"/>
        </w:category>
        <w:types>
          <w:type w:val="bbPlcHdr"/>
        </w:types>
        <w:behaviors>
          <w:behavior w:val="content"/>
        </w:behaviors>
        <w:description w:val=""/>
        <w:guid w:val="{23B2822A-B218-4522-A63D-E889762EDD54}"/>
      </w:docPartPr>
      <w:docPartBody>
        <w:p>
          <w:r>
            <w:rPr>
              <w:color w:val="808080"/>
            </w:rPr>
            <w:t>单击此处输入文字。</w:t>
          </w:r>
        </w:p>
      </w:docPartBody>
    </w:docPart>
    <w:docPart>
      <w:docPartPr>
        <w:name w:val="{dc44e131-f781-4477-97a8-9ec82577e7ca}"/>
        <w:style w:val=""/>
        <w:category>
          <w:name w:val="常规"/>
          <w:gallery w:val="placeholder"/>
        </w:category>
        <w:types>
          <w:type w:val="bbPlcHdr"/>
        </w:types>
        <w:behaviors>
          <w:behavior w:val="content"/>
        </w:behaviors>
        <w:description w:val=""/>
        <w:guid w:val="{DC44E131-F781-4477-97A8-9EC82577E7CA}"/>
      </w:docPartPr>
      <w:docPartBody>
        <w:p>
          <w:r>
            <w:rPr>
              <w:color w:val="808080"/>
            </w:rPr>
            <w:t>单击此处输入文字。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bordersDoNotSurroundHeader w:val="1"/>
  <w:bordersDoNotSurroundFooter w:val="1"/>
  <w:defaultTabStop w:val="420"/>
  <w:characterSpacingControl w:val="doNotCompress"/>
  <w:compat>
    <w:useFELayout/>
    <w:splitPgBreakAndParaMark/>
    <w:compatSetting w:name="compatibilityMode" w:uri="http://schemas.microsoft.com/office/word" w:val="14"/>
  </w:compat>
  <w:rsids>
    <w:rsidRoot w:val="008E5295"/>
    <w:rsid w:val="00445870"/>
    <w:rsid w:val="00814B9D"/>
    <w:rsid w:val="008E52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uiPriority="99" w:name="Normal Table"/>
  </w:latentStyles>
  <w:style w:type="paragraph" w:default="1" w:styleId="1">
    <w:name w:val="Normal"/>
    <w:qFormat/>
    <w:uiPriority w:val="0"/>
    <w:pPr>
      <w:widowControl w:val="0"/>
      <w:jc w:val="both"/>
    </w:pPr>
    <w:rPr>
      <w:rFonts w:asciiTheme="minorHAnsi" w:hAnsiTheme="minorHAnsi" w:eastAsiaTheme="minorEastAsia" w:cstheme="minorBidi"/>
      <w:lang w:val="en-US" w:eastAsia="zh-CN" w:bidi="ar-SA"/>
    </w:rPr>
  </w:style>
  <w:style w:type="character" w:default="1" w:styleId="2">
    <w:name w:val="Default Paragraph Font"/>
    <w:semiHidden/>
    <w:unhideWhenUsed/>
    <w:qFormat/>
    <w:uiPriority w:val="1"/>
  </w:style>
  <w:style w:type="table" w:default="1" w:styleId="3">
    <w:name w:val="Normal Table"/>
    <w:semiHidden/>
    <w:unhideWhenUsed/>
    <w:uiPriority w:val="99"/>
    <w:tblPr>
      <w:tblLayout w:type="fixed"/>
      <w:tblCellMar>
        <w:top w:w="0" w:type="dxa"/>
        <w:left w:w="108" w:type="dxa"/>
        <w:bottom w:w="0" w:type="dxa"/>
        <w:right w:w="108" w:type="dxa"/>
      </w:tblCellMar>
    </w:tbl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27</Pages>
  <Words>1765</Words>
  <Characters>10061</Characters>
  <Lines>83</Lines>
  <Paragraphs>23</Paragraphs>
  <TotalTime>1</TotalTime>
  <ScaleCrop>false</ScaleCrop>
  <LinksUpToDate>false</LinksUpToDate>
  <CharactersWithSpaces>11803</CharactersWithSpaces>
  <Application>WPS Office_10.1.0.7400_F1E327BC-269C-435d-A152-05C5408002CA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lenovo</dc:creator>
  <cp:lastModifiedBy>奥内斯特</cp:lastModifiedBy>
  <cp:lastPrinted>2018-06-22T06:47:32Z</cp:lastPrinted>
  <dcterms:modified xsi:type="dcterms:W3CDTF">2018-06-22T06:49:46Z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ies>
</file>